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F8" w:rsidRDefault="00F57B81">
      <w:pPr>
        <w:pStyle w:val="ConsPlusNormal"/>
        <w:ind w:firstLine="540"/>
        <w:jc w:val="center"/>
        <w:rPr>
          <w:color w:val="auto"/>
        </w:rPr>
      </w:pPr>
      <w:r>
        <w:rPr>
          <w:rFonts w:ascii="Times New Roman" w:hAnsi="Times New Roman" w:cs="Times New Roman"/>
          <w:b/>
          <w:color w:val="auto"/>
          <w:sz w:val="24"/>
        </w:rPr>
        <w:t>Юридическая консультация и адвокатский кабинет как формы адвокатских образований. Налогообложение в адвокатских кабинетах.</w:t>
      </w:r>
    </w:p>
    <w:p w:rsidR="00820EF8" w:rsidRDefault="00F57B81">
      <w:pPr>
        <w:pStyle w:val="a7"/>
        <w:shd w:val="clear" w:color="auto" w:fill="FFFFFF"/>
        <w:spacing w:beforeAutospacing="0" w:after="105" w:afterAutospacing="0"/>
        <w:jc w:val="both"/>
        <w:textAlignment w:val="baseline"/>
        <w:rPr>
          <w:color w:val="auto"/>
        </w:rPr>
      </w:pPr>
      <w:r>
        <w:rPr>
          <w:color w:val="auto"/>
        </w:rPr>
        <w:tab/>
      </w:r>
    </w:p>
    <w:p w:rsidR="00820EF8" w:rsidRDefault="00F57B81">
      <w:pPr>
        <w:spacing w:line="240" w:lineRule="auto"/>
        <w:jc w:val="both"/>
        <w:rPr>
          <w:color w:val="auto"/>
        </w:rPr>
      </w:pPr>
      <w:r>
        <w:rPr>
          <w:rFonts w:ascii="Times New Roman" w:hAnsi="Times New Roman"/>
          <w:color w:val="auto"/>
          <w:sz w:val="24"/>
          <w:szCs w:val="24"/>
        </w:rPr>
        <w:tab/>
        <w:t xml:space="preserve">Формами адвокатских образований являются: адвокатский кабинет, коллегия адвокатов, адвокатское бюро и юридическая консультация. Адвокат вправе в соответствии с Законом об адвокатуре самостоятельно избирать форму адвокатского образования и место осуществления адвокатской деятельности. </w:t>
      </w:r>
    </w:p>
    <w:p w:rsidR="00820EF8" w:rsidRDefault="00820EF8">
      <w:pPr>
        <w:spacing w:line="240" w:lineRule="auto"/>
        <w:jc w:val="both"/>
        <w:rPr>
          <w:rFonts w:ascii="Times New Roman" w:hAnsi="Times New Roman"/>
          <w:sz w:val="24"/>
          <w:szCs w:val="24"/>
        </w:rPr>
      </w:pPr>
    </w:p>
    <w:p w:rsidR="00820EF8" w:rsidRDefault="00F57B81">
      <w:pPr>
        <w:spacing w:line="240" w:lineRule="auto"/>
        <w:jc w:val="both"/>
        <w:rPr>
          <w:color w:val="auto"/>
        </w:rPr>
      </w:pPr>
      <w:r>
        <w:rPr>
          <w:rFonts w:ascii="Times New Roman" w:hAnsi="Times New Roman"/>
          <w:color w:val="auto"/>
          <w:sz w:val="24"/>
          <w:szCs w:val="24"/>
        </w:rPr>
        <w:tab/>
      </w:r>
      <w:r>
        <w:rPr>
          <w:rFonts w:ascii="Times New Roman" w:hAnsi="Times New Roman"/>
          <w:b/>
          <w:bCs/>
          <w:color w:val="auto"/>
          <w:sz w:val="24"/>
          <w:szCs w:val="24"/>
        </w:rPr>
        <w:t>Дополнительно!</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i/>
          <w:iCs/>
          <w:color w:val="auto"/>
          <w:sz w:val="24"/>
          <w:szCs w:val="24"/>
        </w:rPr>
        <w:t>Право адвокатов объединяться в адвокатские образования обусловлено закрепленным Конституцией РФ правом граждан на объединение.</w:t>
      </w:r>
      <w:r>
        <w:rPr>
          <w:rFonts w:ascii="Times New Roman" w:hAnsi="Times New Roman"/>
          <w:i/>
          <w:iCs/>
          <w:color w:val="auto"/>
          <w:sz w:val="24"/>
          <w:szCs w:val="24"/>
        </w:rPr>
        <w:tab/>
      </w:r>
      <w:r>
        <w:rPr>
          <w:rFonts w:ascii="Times New Roman" w:hAnsi="Times New Roman"/>
          <w:i/>
          <w:iCs/>
          <w:color w:val="auto"/>
          <w:sz w:val="24"/>
          <w:szCs w:val="24"/>
        </w:rPr>
        <w:tab/>
      </w:r>
      <w:r>
        <w:rPr>
          <w:rFonts w:ascii="Times New Roman" w:hAnsi="Times New Roman"/>
          <w:i/>
          <w:iCs/>
          <w:color w:val="auto"/>
          <w:sz w:val="24"/>
          <w:szCs w:val="24"/>
        </w:rPr>
        <w:tab/>
      </w:r>
      <w:r>
        <w:rPr>
          <w:rFonts w:ascii="Times New Roman" w:hAnsi="Times New Roman"/>
          <w:i/>
          <w:iCs/>
          <w:color w:val="auto"/>
          <w:sz w:val="24"/>
          <w:szCs w:val="24"/>
        </w:rPr>
        <w:tab/>
      </w:r>
      <w:r>
        <w:rPr>
          <w:rFonts w:ascii="Times New Roman" w:hAnsi="Times New Roman"/>
          <w:i/>
          <w:iCs/>
          <w:color w:val="auto"/>
          <w:sz w:val="24"/>
          <w:szCs w:val="24"/>
        </w:rPr>
        <w:tab/>
        <w:t>В то же время Закон об адвокатуре предоставляет адвокату право самостоятельно выбрать любую из предусмотренных форм адвокатского образования и место осуществления адвокатской деятельности.</w:t>
      </w:r>
    </w:p>
    <w:p w:rsidR="00266C12" w:rsidRPr="00266C12" w:rsidRDefault="00F57B81" w:rsidP="00266C12">
      <w:pPr>
        <w:spacing w:after="0" w:line="240" w:lineRule="auto"/>
        <w:ind w:firstLine="540"/>
        <w:jc w:val="both"/>
        <w:rPr>
          <w:rFonts w:ascii="Verdana" w:eastAsia="Times New Roman" w:hAnsi="Verdana" w:cs="Times New Roman"/>
          <w:color w:val="auto"/>
          <w:sz w:val="21"/>
          <w:szCs w:val="21"/>
          <w:lang w:eastAsia="ru-RU"/>
        </w:rPr>
      </w:pPr>
      <w:r>
        <w:rPr>
          <w:rFonts w:ascii="Times New Roman" w:hAnsi="Times New Roman"/>
          <w:color w:val="auto"/>
          <w:sz w:val="24"/>
          <w:szCs w:val="24"/>
        </w:rPr>
        <w:tab/>
        <w:t>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РФ учреждает юридическую консультацию.</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ГК РФ, ФЗ "О некоммерческих организациях" и Законом об адвокатуре.</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Представление органа исполнительной власти субъекта РФ о создании юридической консультации должно включать в себя сведения:</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1) о судебном районе, в котором требуется создать юридическую консультацию;</w:t>
      </w:r>
      <w:r>
        <w:rPr>
          <w:rFonts w:ascii="Times New Roman" w:hAnsi="Times New Roman"/>
          <w:color w:val="auto"/>
          <w:sz w:val="24"/>
          <w:szCs w:val="24"/>
        </w:rPr>
        <w:tab/>
        <w:t>2) о числе судей в данном судебном районе;</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3) о необходимом в данном судебном районе числе </w:t>
      </w:r>
      <w:proofErr w:type="gramStart"/>
      <w:r>
        <w:rPr>
          <w:rFonts w:ascii="Times New Roman" w:hAnsi="Times New Roman"/>
          <w:color w:val="auto"/>
          <w:sz w:val="24"/>
          <w:szCs w:val="24"/>
        </w:rPr>
        <w:t>адвокатов;</w:t>
      </w:r>
      <w:bookmarkStart w:id="0" w:name="Par408"/>
      <w:bookmarkEnd w:id="0"/>
      <w:r>
        <w:rPr>
          <w:rFonts w:ascii="Times New Roman" w:hAnsi="Times New Roman"/>
          <w:color w:val="auto"/>
          <w:sz w:val="24"/>
          <w:szCs w:val="24"/>
        </w:rPr>
        <w:tab/>
      </w:r>
      <w:proofErr w:type="gramEnd"/>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r>
        <w:rPr>
          <w:rFonts w:ascii="Times New Roman" w:hAnsi="Times New Roman"/>
          <w:color w:val="auto"/>
          <w:sz w:val="24"/>
          <w:szCs w:val="24"/>
        </w:rPr>
        <w:tab/>
      </w:r>
      <w:r>
        <w:rPr>
          <w:rFonts w:ascii="Times New Roman" w:hAnsi="Times New Roman"/>
          <w:color w:val="auto"/>
          <w:sz w:val="24"/>
          <w:szCs w:val="24"/>
        </w:rPr>
        <w:tab/>
        <w:t>После согласования с органом исполнительной власти субъекта РФ условий, предусмотренных выше,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РФ.</w:t>
      </w:r>
      <w:r>
        <w:rPr>
          <w:rFonts w:ascii="Times New Roman" w:hAnsi="Times New Roman"/>
          <w:color w:val="auto"/>
          <w:sz w:val="24"/>
          <w:szCs w:val="24"/>
        </w:rPr>
        <w:tab/>
      </w:r>
      <w:r>
        <w:rPr>
          <w:rFonts w:ascii="Times New Roman" w:hAnsi="Times New Roman"/>
          <w:color w:val="auto"/>
          <w:sz w:val="24"/>
          <w:szCs w:val="24"/>
        </w:rPr>
        <w:tab/>
        <w:t>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sidR="00266C12" w:rsidRPr="00266C12">
        <w:rPr>
          <w:rFonts w:ascii="Times New Roman" w:eastAsia="Times New Roman" w:hAnsi="Times New Roman" w:cs="Times New Roman"/>
          <w:color w:val="auto"/>
          <w:sz w:val="24"/>
          <w:szCs w:val="24"/>
          <w:lang w:eastAsia="ru-RU"/>
        </w:rPr>
        <w:t>Адвокат, имеющий стаж адвокатской деятельности не менее трех лет и принявший решение осуществлять адвокатскую деятельность индивидуально, вправе учредить адвокатский кабинет.</w:t>
      </w:r>
    </w:p>
    <w:p w:rsidR="00820EF8" w:rsidRDefault="00F57B81">
      <w:pPr>
        <w:spacing w:line="240" w:lineRule="auto"/>
        <w:jc w:val="both"/>
        <w:rPr>
          <w:color w:val="auto"/>
        </w:rPr>
      </w:pPr>
      <w:bookmarkStart w:id="1" w:name="_GoBack"/>
      <w:bookmarkEnd w:id="1"/>
      <w:r>
        <w:rPr>
          <w:rFonts w:ascii="Times New Roman" w:hAnsi="Times New Roman"/>
          <w:color w:val="auto"/>
          <w:sz w:val="24"/>
          <w:szCs w:val="24"/>
        </w:rPr>
        <w:tab/>
        <w:t>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820EF8" w:rsidRDefault="00F57B81">
      <w:pPr>
        <w:pStyle w:val="ConsPlusNormal"/>
        <w:jc w:val="both"/>
        <w:rPr>
          <w:color w:val="auto"/>
        </w:rPr>
      </w:pPr>
      <w:r>
        <w:rPr>
          <w:rFonts w:ascii="Times New Roman" w:hAnsi="Times New Roman"/>
          <w:color w:val="auto"/>
          <w:sz w:val="24"/>
        </w:rPr>
        <w:lastRenderedPageBreak/>
        <w:tab/>
        <w:t>Адвокатский кабинет не является юридическим лицом.</w:t>
      </w:r>
    </w:p>
    <w:p w:rsidR="00820EF8" w:rsidRDefault="00F57B81">
      <w:pPr>
        <w:pStyle w:val="ConsPlusNormal"/>
        <w:jc w:val="both"/>
        <w:rPr>
          <w:color w:val="auto"/>
        </w:rPr>
      </w:pPr>
      <w:r>
        <w:rPr>
          <w:rFonts w:ascii="Times New Roman" w:hAnsi="Times New Roman"/>
          <w:color w:val="auto"/>
          <w:sz w:val="24"/>
        </w:rPr>
        <w:tab/>
        <w:t>Адвокат, учредивший адвокатский кабинет, открывает счета в банках в соответствии с законодательством, имеет печать, штампы и бланки с адресом и наименованием адвокатского кабинета, содержащим указание на субъект РФ, на территории которого учрежден адвокатский кабинет.</w:t>
      </w:r>
    </w:p>
    <w:p w:rsidR="00820EF8" w:rsidRDefault="00F57B81">
      <w:pPr>
        <w:pStyle w:val="ConsPlusNormal"/>
        <w:jc w:val="both"/>
        <w:rPr>
          <w:color w:val="auto"/>
        </w:rPr>
      </w:pPr>
      <w:r>
        <w:rPr>
          <w:rFonts w:ascii="Times New Roman" w:hAnsi="Times New Roman"/>
          <w:color w:val="auto"/>
          <w:sz w:val="24"/>
        </w:rPr>
        <w:tab/>
        <w:t>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820EF8" w:rsidRDefault="00F57B81">
      <w:pPr>
        <w:pStyle w:val="ConsPlusNormal"/>
        <w:jc w:val="both"/>
        <w:rPr>
          <w:color w:val="auto"/>
        </w:rPr>
      </w:pPr>
      <w:r>
        <w:rPr>
          <w:rFonts w:ascii="Times New Roman" w:hAnsi="Times New Roman"/>
          <w:color w:val="auto"/>
          <w:sz w:val="24"/>
        </w:rPr>
        <w:tab/>
        <w:t>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820EF8" w:rsidRDefault="00F57B81">
      <w:pPr>
        <w:pStyle w:val="ConsPlusNormal"/>
        <w:jc w:val="both"/>
        <w:rPr>
          <w:color w:val="auto"/>
        </w:rPr>
      </w:pPr>
      <w:r>
        <w:rPr>
          <w:rFonts w:ascii="Times New Roman" w:hAnsi="Times New Roman"/>
          <w:color w:val="auto"/>
          <w:sz w:val="24"/>
        </w:rPr>
        <w:tab/>
        <w:t xml:space="preserve">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rPr>
          <w:rFonts w:ascii="Times New Roman" w:hAnsi="Times New Roman"/>
          <w:color w:val="auto"/>
          <w:sz w:val="24"/>
        </w:rPr>
        <w:t>наймодателя</w:t>
      </w:r>
      <w:proofErr w:type="spellEnd"/>
      <w:r>
        <w:rPr>
          <w:rFonts w:ascii="Times New Roman" w:hAnsi="Times New Roman"/>
          <w:color w:val="auto"/>
          <w:sz w:val="24"/>
        </w:rPr>
        <w:t xml:space="preserve"> и всех совершеннолетних лиц, проживающих совместно с адвокатом.</w:t>
      </w:r>
    </w:p>
    <w:p w:rsidR="00820EF8" w:rsidRDefault="00820EF8">
      <w:pPr>
        <w:pStyle w:val="ConsPlusNormal"/>
        <w:jc w:val="both"/>
        <w:rPr>
          <w:rFonts w:ascii="Times New Roman" w:hAnsi="Times New Roman"/>
          <w:sz w:val="24"/>
        </w:rPr>
      </w:pPr>
    </w:p>
    <w:p w:rsidR="00820EF8" w:rsidRDefault="00F57B81">
      <w:pPr>
        <w:pStyle w:val="ConsPlusNormal"/>
        <w:jc w:val="both"/>
        <w:rPr>
          <w:b/>
          <w:bCs/>
          <w:color w:val="auto"/>
        </w:rPr>
      </w:pPr>
      <w:r>
        <w:rPr>
          <w:rFonts w:ascii="Times New Roman" w:hAnsi="Times New Roman"/>
          <w:b/>
          <w:bCs/>
          <w:color w:val="auto"/>
          <w:sz w:val="24"/>
        </w:rPr>
        <w:tab/>
        <w:t>Дополнительно!</w:t>
      </w:r>
    </w:p>
    <w:p w:rsidR="00820EF8" w:rsidRDefault="00F57B81">
      <w:pPr>
        <w:pStyle w:val="ConsPlusNormal"/>
        <w:jc w:val="both"/>
        <w:rPr>
          <w:i/>
          <w:iCs/>
          <w:color w:val="auto"/>
        </w:rPr>
      </w:pPr>
      <w:r>
        <w:rPr>
          <w:rFonts w:ascii="Times New Roman" w:hAnsi="Times New Roman"/>
          <w:i/>
          <w:iCs/>
          <w:color w:val="auto"/>
          <w:sz w:val="24"/>
        </w:rPr>
        <w:tab/>
        <w:t>Мировой опыт свидетельствует о том, что с учетом публичной значимости некоторых свободных профессий государство требует от представителей данных профессий обязательного вступления в корпорацию, считая членство в профессиональном объединении необходимым условием обеспечения качества осуществления указанными лицами своих профессиональных обязанностей.</w:t>
      </w:r>
    </w:p>
    <w:p w:rsidR="00820EF8" w:rsidRDefault="00820EF8">
      <w:pPr>
        <w:pStyle w:val="ConsPlusNormal"/>
        <w:jc w:val="both"/>
        <w:rPr>
          <w:rFonts w:ascii="Times New Roman" w:hAnsi="Times New Roman"/>
          <w:sz w:val="24"/>
        </w:rPr>
      </w:pPr>
    </w:p>
    <w:p w:rsidR="00820EF8" w:rsidRDefault="00F57B81" w:rsidP="00F57B81">
      <w:pPr>
        <w:shd w:val="clear" w:color="auto" w:fill="FFFFFF"/>
        <w:spacing w:line="240" w:lineRule="auto"/>
        <w:jc w:val="both"/>
        <w:rPr>
          <w:color w:val="auto"/>
        </w:rPr>
      </w:pPr>
      <w:r>
        <w:rPr>
          <w:rFonts w:ascii="Times New Roman" w:hAnsi="Times New Roman"/>
          <w:color w:val="auto"/>
          <w:sz w:val="24"/>
          <w:szCs w:val="24"/>
        </w:rPr>
        <w:tab/>
        <w:t xml:space="preserve">Исчисление и уплату налога в соответствии с ст. 227 НК РФ производят адвокаты, учредившие адвокатские кабинеты - по суммам доходов, полученных от такой деятельности. Данные налогоплательщики самостоятельно исчисляют суммы налога, подлежащие уплате в соответствующий бюджет, в порядке, установленном ст. 225 НК РФ. </w:t>
      </w:r>
      <w:r>
        <w:rPr>
          <w:rFonts w:ascii="Times New Roman" w:hAnsi="Times New Roman"/>
          <w:color w:val="auto"/>
          <w:sz w:val="24"/>
          <w:szCs w:val="24"/>
        </w:rPr>
        <w:tab/>
        <w:t xml:space="preserve">Общая сумма налога, подлежащая уплате в соответствующий бюджет, исчисляется налогоплательщиком с учетом сумм налога, удержанных налоговыми агентами при выплате налогоплательщику дохода, а также сумм авансовых платежей по налогу, фактически уплаченных в соответствующий бюджет.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Убытки прошлых лет, понесенные физическим лицом, не уменьшают налоговую базу.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Данные налогоплательщики обязаны представить в налоговый орган по месту своего учета соответствующую налоговую декларацию в сроки, установленные ст. 229 НК РФ.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Общая сумма налога, подлежащая уплате в соответствующий бюджет, исчисленная в соответствии с налоговой декларацией с учетом положений ст. 227 НК РФ (т. е. «Особенности исчисления сумм налога отдельными категориями физических лиц. Порядок и сроки уплаты налога, порядок и сроки уплаты авансовых платежей указанными лицами»), уплачивается по месту учета налогоплательщика в срок не позднее 15 июля года, следующего за истекшим налоговым периодом.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В случае появления в течение года у налогоплательщиков доходов, полученных от занятия частной практикой, налогоплательщики обязаны представить налоговую декларацию с указанием суммы предполагаемого дохода от указанной деятельности в текущем налоговом периоде в налоговый орган в пятидневный срок по истечении месяца со дня появления таких доходов. При этом сумма предполагаемого дохода определяется налогоплательщиком.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Исчисление суммы авансовых платежей производится налоговым органом. Расчет сумм авансовых платежей на текущий налоговый период производится налоговым органом на основании суммы предполагаемого дохода, указанного в налоговой декларации, или суммы фактически полученного дохода от указанных видов деятельности за предыдущий налоговый период с учетом налоговых вычетов, предусмотренных ст. ст. </w:t>
      </w:r>
      <w:r>
        <w:rPr>
          <w:rFonts w:ascii="Times New Roman" w:hAnsi="Times New Roman"/>
          <w:color w:val="auto"/>
          <w:sz w:val="24"/>
          <w:szCs w:val="24"/>
        </w:rPr>
        <w:lastRenderedPageBreak/>
        <w:t xml:space="preserve">218 и 221 НК РФ.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rFonts w:ascii="Times New Roman" w:hAnsi="Times New Roman"/>
          <w:color w:val="auto"/>
          <w:sz w:val="24"/>
          <w:szCs w:val="24"/>
        </w:rPr>
        <w:t xml:space="preserve">Авансовые платежи уплачиваются налогоплательщиком на основании налоговых уведомлений: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1) за январь - июнь - не позднее 15 июля текущего года в размере половины годовой суммы авансовых платежей;</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2) за июль - сентябрь - не позднее 15 октября текущего года в размере одной четвертой годовой суммы авансовых платежей;</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3) за октябрь - декабрь - не позднее 15 января следующего года в размере одной четвертой годовой суммы авансовых платежей.</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В случае значительного (более чем на 50 процентов) увеличения или уменьшения в налоговом периоде дохода налогоплательщик обязан представить новую налоговую декларацию с указанием суммы предполагаемого дохода на текущий год. В этом случае налоговый орган производит перерасчет сумм авансовых платежей на текущий год по </w:t>
      </w:r>
      <w:proofErr w:type="spellStart"/>
      <w:r>
        <w:rPr>
          <w:rFonts w:ascii="Times New Roman" w:hAnsi="Times New Roman"/>
          <w:color w:val="auto"/>
          <w:sz w:val="24"/>
          <w:szCs w:val="24"/>
        </w:rPr>
        <w:t>ненаступившим</w:t>
      </w:r>
      <w:proofErr w:type="spellEnd"/>
      <w:r>
        <w:rPr>
          <w:rFonts w:ascii="Times New Roman" w:hAnsi="Times New Roman"/>
          <w:color w:val="auto"/>
          <w:sz w:val="24"/>
          <w:szCs w:val="24"/>
        </w:rPr>
        <w:t xml:space="preserve"> срокам уплаты.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Перерасчет сумм авансовых платежей производится налоговым органом не позднее пяти дней с момента получения новой налоговой декларации.</w:t>
      </w:r>
    </w:p>
    <w:p w:rsidR="00820EF8" w:rsidRDefault="00820EF8">
      <w:pPr>
        <w:spacing w:line="240" w:lineRule="auto"/>
        <w:ind w:firstLine="547"/>
        <w:jc w:val="both"/>
        <w:rPr>
          <w:rFonts w:ascii="Times New Roman" w:hAnsi="Times New Roman"/>
          <w:color w:val="auto"/>
          <w:sz w:val="24"/>
          <w:szCs w:val="24"/>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p w:rsidR="00820EF8" w:rsidRDefault="00820EF8">
      <w:pPr>
        <w:pStyle w:val="a7"/>
        <w:shd w:val="clear" w:color="auto" w:fill="FFFFFF"/>
        <w:spacing w:beforeAutospacing="0" w:after="105" w:afterAutospacing="0"/>
        <w:jc w:val="both"/>
        <w:textAlignment w:val="baseline"/>
        <w:rPr>
          <w:color w:val="auto"/>
        </w:rPr>
      </w:pPr>
    </w:p>
    <w:sectPr w:rsidR="00820EF8" w:rsidSect="00820EF8">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20EF8"/>
    <w:rsid w:val="00266C12"/>
    <w:rsid w:val="00820EF8"/>
    <w:rsid w:val="00F57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FC8C4-0729-4C86-B7E7-DF06DB91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D83"/>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021224"/>
  </w:style>
  <w:style w:type="character" w:customStyle="1" w:styleId="-">
    <w:name w:val="Интернет-ссылка"/>
    <w:basedOn w:val="a0"/>
    <w:uiPriority w:val="99"/>
    <w:semiHidden/>
    <w:unhideWhenUsed/>
    <w:rsid w:val="00021224"/>
    <w:rPr>
      <w:color w:val="0000FF"/>
      <w:u w:val="single"/>
    </w:rPr>
  </w:style>
  <w:style w:type="character" w:customStyle="1" w:styleId="q">
    <w:name w:val="q"/>
    <w:qFormat/>
    <w:rsid w:val="00820EF8"/>
  </w:style>
  <w:style w:type="paragraph" w:customStyle="1" w:styleId="a3">
    <w:name w:val="Заголовок"/>
    <w:basedOn w:val="a"/>
    <w:next w:val="a4"/>
    <w:qFormat/>
    <w:rsid w:val="00820EF8"/>
    <w:pPr>
      <w:keepNext/>
      <w:spacing w:before="240" w:after="120"/>
    </w:pPr>
    <w:rPr>
      <w:rFonts w:ascii="Liberation Sans" w:eastAsia="Microsoft YaHei" w:hAnsi="Liberation Sans" w:cs="Mangal"/>
      <w:sz w:val="28"/>
      <w:szCs w:val="28"/>
    </w:rPr>
  </w:style>
  <w:style w:type="paragraph" w:styleId="a4">
    <w:name w:val="Body Text"/>
    <w:basedOn w:val="a"/>
    <w:rsid w:val="00820EF8"/>
    <w:pPr>
      <w:spacing w:after="140" w:line="288" w:lineRule="auto"/>
    </w:pPr>
  </w:style>
  <w:style w:type="paragraph" w:styleId="a5">
    <w:name w:val="List"/>
    <w:basedOn w:val="a4"/>
    <w:rsid w:val="00820EF8"/>
    <w:rPr>
      <w:rFonts w:cs="Mangal"/>
    </w:rPr>
  </w:style>
  <w:style w:type="paragraph" w:customStyle="1" w:styleId="1">
    <w:name w:val="Название объекта1"/>
    <w:basedOn w:val="a"/>
    <w:qFormat/>
    <w:rsid w:val="00820EF8"/>
    <w:pPr>
      <w:suppressLineNumbers/>
      <w:spacing w:before="120" w:after="120"/>
    </w:pPr>
    <w:rPr>
      <w:rFonts w:cs="Mangal"/>
      <w:i/>
      <w:iCs/>
      <w:sz w:val="24"/>
      <w:szCs w:val="24"/>
    </w:rPr>
  </w:style>
  <w:style w:type="paragraph" w:styleId="a6">
    <w:name w:val="index heading"/>
    <w:basedOn w:val="a"/>
    <w:qFormat/>
    <w:rsid w:val="00820EF8"/>
    <w:pPr>
      <w:suppressLineNumbers/>
    </w:pPr>
    <w:rPr>
      <w:rFonts w:cs="Mangal"/>
    </w:rPr>
  </w:style>
  <w:style w:type="paragraph" w:styleId="a7">
    <w:name w:val="Normal (Web)"/>
    <w:basedOn w:val="a"/>
    <w:uiPriority w:val="99"/>
    <w:semiHidden/>
    <w:unhideWhenUsed/>
    <w:qFormat/>
    <w:rsid w:val="0002122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20EF8"/>
    <w:pPr>
      <w:suppressAutoHyphens/>
    </w:pPr>
    <w:rPr>
      <w:rFonts w:ascii="Arial" w:eastAsia="Courier New" w:hAnsi="Arial" w:cs="Liberation Serif"/>
      <w:color w:val="000000"/>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244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17</cp:revision>
  <dcterms:created xsi:type="dcterms:W3CDTF">2014-02-20T19:51:00Z</dcterms:created>
  <dcterms:modified xsi:type="dcterms:W3CDTF">2020-04-10T19:14:00Z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