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F" w:rsidRPr="009E591B" w:rsidRDefault="009E591B" w:rsidP="009E591B">
      <w:pPr>
        <w:pStyle w:val="ConsPlusNormal"/>
        <w:shd w:val="clear" w:color="auto" w:fill="FFFFFF"/>
        <w:ind w:firstLine="540"/>
        <w:jc w:val="center"/>
        <w:outlineLvl w:val="1"/>
        <w:rPr>
          <w:color w:val="auto"/>
        </w:rPr>
      </w:pPr>
      <w:r w:rsidRPr="009E591B">
        <w:rPr>
          <w:rStyle w:val="a4"/>
          <w:rFonts w:ascii="Times New Roman" w:hAnsi="Times New Roman" w:cs="Arial"/>
          <w:color w:val="auto"/>
          <w:sz w:val="24"/>
        </w:rPr>
        <w:t>Использование в деятельности адвоката решений Европейского суда по правам человека. Действия адвоката на стадии исполнения решений Европейского суда по правам человека в части принятия мер индивидуального и общего характера.</w:t>
      </w:r>
    </w:p>
    <w:p w:rsidR="00950D4F" w:rsidRPr="009E591B" w:rsidRDefault="00950D4F" w:rsidP="009E591B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rStyle w:val="a4"/>
          <w:color w:val="auto"/>
        </w:rPr>
      </w:pPr>
    </w:p>
    <w:p w:rsidR="00950D4F" w:rsidRPr="009E591B" w:rsidRDefault="009E591B" w:rsidP="009E591B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  <w:r w:rsidRPr="009E591B">
        <w:rPr>
          <w:rStyle w:val="a4"/>
          <w:rFonts w:cs="Arial"/>
          <w:color w:val="auto"/>
        </w:rPr>
        <w:tab/>
      </w:r>
      <w:r w:rsidRPr="009E591B">
        <w:rPr>
          <w:color w:val="auto"/>
        </w:rPr>
        <w:t xml:space="preserve">Подписав и ратифицировав </w:t>
      </w:r>
      <w:r w:rsidRPr="009E591B">
        <w:rPr>
          <w:color w:val="auto"/>
        </w:rPr>
        <w:t>Европейскую конвенцию «О защите прав человека и основных свобод», Россия в Законе о ее ратификации 30 марта 1998 г. согласно ст. 46 Конвенции («Обязательная сила и исполнение постановлений») признала юрисдикцию Европейского суда по правам человека и обязат</w:t>
      </w:r>
      <w:r w:rsidRPr="009E591B">
        <w:rPr>
          <w:color w:val="auto"/>
        </w:rPr>
        <w:t>ельный характер исполнения решений Европейского суда. На практике это означает, что РФ как государство-ответчик в случае признания Европейским судом нарушения того или иного права заявителя, предусмотренного Конвенцией, обязана принять как меры индивидуаль</w:t>
      </w:r>
      <w:r w:rsidRPr="009E591B">
        <w:rPr>
          <w:color w:val="auto"/>
        </w:rPr>
        <w:t>ного характера, так и меры общего характера. Поэтому применение судами</w:t>
      </w:r>
      <w:r w:rsidRPr="009E591B">
        <w:rPr>
          <w:rStyle w:val="apple-converted-space"/>
          <w:color w:val="auto"/>
        </w:rPr>
        <w:t> </w:t>
      </w:r>
      <w:r w:rsidRPr="009E591B">
        <w:rPr>
          <w:color w:val="auto"/>
        </w:rPr>
        <w:t>вышеназванной</w:t>
      </w:r>
      <w:r w:rsidRPr="009E591B">
        <w:rPr>
          <w:rStyle w:val="apple-converted-space"/>
          <w:color w:val="auto"/>
        </w:rPr>
        <w:t> </w:t>
      </w:r>
      <w:hyperlink r:id="rId4">
        <w:r w:rsidRPr="009E591B">
          <w:rPr>
            <w:rStyle w:val="-"/>
            <w:color w:val="auto"/>
            <w:u w:val="none"/>
          </w:rPr>
          <w:t>Конвенци</w:t>
        </w:r>
        <w:r w:rsidRPr="009E591B">
          <w:rPr>
            <w:rStyle w:val="-"/>
            <w:color w:val="auto"/>
            <w:u w:val="none"/>
          </w:rPr>
          <w:t>и</w:t>
        </w:r>
      </w:hyperlink>
      <w:r w:rsidRPr="009E591B">
        <w:rPr>
          <w:color w:val="auto"/>
        </w:rPr>
        <w:t xml:space="preserve"> должно осуществляться с учетом практики Европейского суда по правам человека во избежание любого нарушения этой Конвенции.</w:t>
      </w:r>
    </w:p>
    <w:p w:rsidR="00950D4F" w:rsidRPr="009E591B" w:rsidRDefault="009E591B" w:rsidP="009E591B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  <w:r w:rsidRPr="009E591B">
        <w:rPr>
          <w:color w:val="auto"/>
        </w:rPr>
        <w:tab/>
        <w:t>Конвенция «О защите прав человека и основных свобод» обладает собственным механизмом, который включает обязательную юрисдикцию</w:t>
      </w:r>
      <w:r w:rsidRPr="009E591B">
        <w:rPr>
          <w:rStyle w:val="apple-converted-space"/>
          <w:color w:val="auto"/>
        </w:rPr>
        <w:t> </w:t>
      </w:r>
      <w:hyperlink r:id="rId5">
        <w:r w:rsidRPr="009E591B">
          <w:rPr>
            <w:rStyle w:val="-"/>
            <w:color w:val="auto"/>
            <w:u w:val="none"/>
          </w:rPr>
          <w:t>Европейского суда</w:t>
        </w:r>
      </w:hyperlink>
      <w:r w:rsidRPr="009E591B">
        <w:rPr>
          <w:rStyle w:val="apple-converted-space"/>
          <w:color w:val="auto"/>
        </w:rPr>
        <w:t> </w:t>
      </w:r>
      <w:r w:rsidRPr="009E591B">
        <w:rPr>
          <w:color w:val="auto"/>
        </w:rPr>
        <w:t xml:space="preserve">по правам человека и систематический </w:t>
      </w:r>
      <w:proofErr w:type="gramStart"/>
      <w:r w:rsidRPr="009E591B">
        <w:rPr>
          <w:color w:val="auto"/>
        </w:rPr>
        <w:t>контроль за</w:t>
      </w:r>
      <w:proofErr w:type="gramEnd"/>
      <w:r w:rsidRPr="009E591B">
        <w:rPr>
          <w:color w:val="auto"/>
        </w:rPr>
        <w:t xml:space="preserve"> выполнением постановлений Суда со стороны Комитета министров Сов</w:t>
      </w:r>
      <w:r w:rsidRPr="009E591B">
        <w:rPr>
          <w:color w:val="auto"/>
        </w:rPr>
        <w:t>ета Европы. В силу п. 1 ст. 46 Конвенции эти постановления в отношении РФ, принятые окончательно, являются обязательными для всех органов государственной власти РФ, в том числе и для судов.</w:t>
      </w:r>
    </w:p>
    <w:p w:rsidR="009E591B" w:rsidRDefault="009E591B" w:rsidP="009E591B">
      <w:pPr>
        <w:pStyle w:val="ab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  <w:r w:rsidRPr="009E591B">
        <w:rPr>
          <w:color w:val="auto"/>
        </w:rPr>
        <w:tab/>
        <w:t>Пункт 2 ст. 46 Конвенции предусматривает: «Окончательное постанов</w:t>
      </w:r>
      <w:r w:rsidRPr="009E591B">
        <w:rPr>
          <w:color w:val="auto"/>
        </w:rPr>
        <w:t>ление Суда направляется в Комитет министров Совета Европы, который осуществляет надзор за его исполнением».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Комитет министров является основным исполнительным органом Совета Европы и в этом качестве решает все вопросы, связанные с деятельностью о</w:t>
      </w:r>
      <w:r w:rsidRPr="009E591B">
        <w:rPr>
          <w:color w:val="auto"/>
        </w:rPr>
        <w:t xml:space="preserve">рганизации, в том числе политические, административные, финансовые, а также многие другие проблемы межгосударственного сотрудничества. Тем не </w:t>
      </w:r>
      <w:proofErr w:type="gramStart"/>
      <w:r w:rsidRPr="009E591B">
        <w:rPr>
          <w:color w:val="auto"/>
        </w:rPr>
        <w:t>менее</w:t>
      </w:r>
      <w:proofErr w:type="gramEnd"/>
      <w:r w:rsidRPr="009E591B">
        <w:rPr>
          <w:color w:val="auto"/>
        </w:rPr>
        <w:t xml:space="preserve"> в рамках Конвенции Комитет министров наделен особой функцией надзора за исполнением решений Европейского суд</w:t>
      </w:r>
      <w:r w:rsidRPr="009E591B">
        <w:rPr>
          <w:color w:val="auto"/>
        </w:rPr>
        <w:t xml:space="preserve">а, и ее не следовало бы смешивать с другими аспектами деятельности Комитета. Заседания, специально посвященные </w:t>
      </w:r>
      <w:proofErr w:type="gramStart"/>
      <w:r w:rsidRPr="009E591B">
        <w:rPr>
          <w:color w:val="auto"/>
        </w:rPr>
        <w:t>контролю за</w:t>
      </w:r>
      <w:proofErr w:type="gramEnd"/>
      <w:r w:rsidRPr="009E591B">
        <w:rPr>
          <w:color w:val="auto"/>
        </w:rPr>
        <w:t xml:space="preserve"> исполнением решений Суда (заседания DH), проводятся, как правило, каждые два месяца, т.е. шесть раз в год. На практике Комитет иногда</w:t>
      </w:r>
      <w:r w:rsidRPr="009E591B">
        <w:rPr>
          <w:color w:val="auto"/>
        </w:rPr>
        <w:t xml:space="preserve"> рассматривает особо срочные вопросы, касающиеся исполнения решений, и на регулярных заседаниях.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Согласно Уставу организации Комитет министров состоит из Министров иностранных дел государств-участников. Заседания Комитета с личным участием Министр</w:t>
      </w:r>
      <w:r w:rsidRPr="009E591B">
        <w:rPr>
          <w:color w:val="auto"/>
        </w:rPr>
        <w:t xml:space="preserve">ов иностранных дел проводятся лишь два раза в год. На всех остальных заседаниях, в том числе на тех, которые посвящены </w:t>
      </w:r>
      <w:proofErr w:type="gramStart"/>
      <w:r w:rsidRPr="009E591B">
        <w:rPr>
          <w:color w:val="auto"/>
        </w:rPr>
        <w:t>контролю за</w:t>
      </w:r>
      <w:proofErr w:type="gramEnd"/>
      <w:r w:rsidRPr="009E591B">
        <w:rPr>
          <w:color w:val="auto"/>
        </w:rPr>
        <w:t xml:space="preserve"> исполнением решений Европейского суда, Министры представлены их постоянными представителями при Совете Европы.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В со</w:t>
      </w:r>
      <w:r w:rsidRPr="009E591B">
        <w:rPr>
          <w:color w:val="auto"/>
        </w:rPr>
        <w:t>ответствии с существующей процедурой решение Суда в день его вынесения направляется с сопроводительным письмом Секретариата Суда в Комитет министров. Как только решение Суда, констатирующее нарушение Конвенции, становится окончательным, оно ставится на пов</w:t>
      </w:r>
      <w:r w:rsidRPr="009E591B">
        <w:rPr>
          <w:color w:val="auto"/>
        </w:rPr>
        <w:t>естку дня ближайшего заседания DH Комитета министров.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E591B">
        <w:rPr>
          <w:color w:val="auto"/>
        </w:rPr>
        <w:t xml:space="preserve">После этого решение Суда рассматривается Комитетом министров периодически, с интервалами, как </w:t>
      </w:r>
      <w:proofErr w:type="gramStart"/>
      <w:r w:rsidRPr="009E591B">
        <w:rPr>
          <w:color w:val="auto"/>
        </w:rPr>
        <w:t>правило</w:t>
      </w:r>
      <w:proofErr w:type="gramEnd"/>
      <w:r w:rsidRPr="009E591B">
        <w:rPr>
          <w:color w:val="auto"/>
        </w:rPr>
        <w:t xml:space="preserve"> не превышающими шесть месяцев (интервалы зависят от срочности вопросов, связанных с исполнением ка</w:t>
      </w:r>
      <w:r w:rsidRPr="009E591B">
        <w:rPr>
          <w:color w:val="auto"/>
        </w:rPr>
        <w:t>ждого судебного решения), до тех пор пока Комитет не сочтет решение исполненным и соответственно не завершит его рассмотрение принятием закрывающей дело резолюции.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 xml:space="preserve">До того как Комитет завершит рассмотрение дела, он может принимать на различных этапах </w:t>
      </w:r>
      <w:r w:rsidRPr="009E591B">
        <w:rPr>
          <w:color w:val="auto"/>
        </w:rPr>
        <w:t xml:space="preserve">контроля так называемые предварительные резолюции, в которых выражает свою позицию по различным вопросам, связанным с исполнением решений </w:t>
      </w:r>
      <w:r w:rsidRPr="009E591B">
        <w:rPr>
          <w:color w:val="auto"/>
        </w:rPr>
        <w:lastRenderedPageBreak/>
        <w:t>Суда.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Комитет министров начинает рассмотрение каждого судебного решения с требования к государству-ответчик</w:t>
      </w:r>
      <w:r w:rsidRPr="009E591B">
        <w:rPr>
          <w:color w:val="auto"/>
        </w:rPr>
        <w:t>у проинформировать его о мерах, принятых для исполнения данного решения.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На основании предоставленной государством-ответчиком информации Комитет министров производит контроль выплаты установленной Судом денежной компенсации, а также, где необходимо</w:t>
      </w:r>
      <w:r w:rsidRPr="009E591B">
        <w:rPr>
          <w:color w:val="auto"/>
        </w:rPr>
        <w:t>, контролирует принятие мер индивидуального и общего характера с целью устранения последствий нарушений Конвенции и предотвращения новых подобных нарушений в будущем.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Безусловно, самый ощутимый элемент судебного решения — в большинстве случаев при</w:t>
      </w:r>
      <w:r w:rsidRPr="009E591B">
        <w:rPr>
          <w:color w:val="auto"/>
        </w:rPr>
        <w:t>суждение заявителю «справедливой компенсации», т.е. определенной денежной суммы, с целью возмещения материального и/или морального ущерба, нанесенных нарушением Конвенции, а также судебных издержек, связанных с этим нарушением. Контролируя исполнение решен</w:t>
      </w:r>
      <w:r w:rsidRPr="009E591B">
        <w:rPr>
          <w:color w:val="auto"/>
        </w:rPr>
        <w:t>ия Суда, Комитет министров, разумеется, следит за выплатой присужденных денежных сумм и возможных процентов за просрочку. В ходе рассмотрения судебного решения государство информирует Комитет министров о факте и дате выплаты денежной компенсации. Секретари</w:t>
      </w:r>
      <w:r w:rsidRPr="009E591B">
        <w:rPr>
          <w:color w:val="auto"/>
        </w:rPr>
        <w:t xml:space="preserve">ат регистрирует факт и дату выплаты и в случае их соответствия условиям, определенным Судом в его решении, Комитет закрывает финансовый аспект дела. Следует отметить, что при </w:t>
      </w:r>
      <w:proofErr w:type="gramStart"/>
      <w:r w:rsidRPr="009E591B">
        <w:rPr>
          <w:color w:val="auto"/>
        </w:rPr>
        <w:t>контроле за</w:t>
      </w:r>
      <w:proofErr w:type="gramEnd"/>
      <w:r w:rsidRPr="009E591B">
        <w:rPr>
          <w:color w:val="auto"/>
        </w:rPr>
        <w:t xml:space="preserve"> выплатой компенсации Комитет министров практически не имеет свободы д</w:t>
      </w:r>
      <w:r w:rsidRPr="009E591B">
        <w:rPr>
          <w:color w:val="auto"/>
        </w:rPr>
        <w:t>ействия и призван строго проконтролировать передачу соответствующих сумм в распоряжение заявителя или его представителя в соответствии с буквой судебного решения.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</w:p>
    <w:p w:rsidR="009E591B" w:rsidRDefault="009E591B" w:rsidP="009E591B">
      <w:pPr>
        <w:pStyle w:val="ab"/>
        <w:shd w:val="clear" w:color="auto" w:fill="FFFFFF"/>
        <w:spacing w:beforeAutospacing="0" w:after="105" w:afterAutospacing="0"/>
        <w:ind w:firstLine="708"/>
        <w:jc w:val="both"/>
        <w:textAlignment w:val="baseline"/>
        <w:rPr>
          <w:i/>
          <w:iCs/>
          <w:color w:val="auto"/>
        </w:rPr>
      </w:pPr>
      <w:r w:rsidRPr="009E591B">
        <w:rPr>
          <w:b/>
          <w:bCs/>
          <w:color w:val="auto"/>
        </w:rPr>
        <w:t>Дополнительно!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i/>
          <w:iCs/>
          <w:color w:val="auto"/>
        </w:rPr>
        <w:t>Практика Европейского суда свидетельствует, что заявитель по тем ил</w:t>
      </w:r>
      <w:r w:rsidRPr="009E591B">
        <w:rPr>
          <w:i/>
          <w:iCs/>
          <w:color w:val="auto"/>
        </w:rPr>
        <w:t>и иным причинам может не выдвигать требования о сумме справедливой компенсации и в рассматриваемом случае Суд не присуждает такую компенсацию. Однако это обстоятельство не должно влечь отказ суда в удовлетворении заявления о возмещении ущерба и (или) о ден</w:t>
      </w:r>
      <w:r w:rsidRPr="009E591B">
        <w:rPr>
          <w:i/>
          <w:iCs/>
          <w:color w:val="auto"/>
        </w:rPr>
        <w:t xml:space="preserve">ежной компенсации морального вреда. В рассматриваемом правиле имеется два исключения, подтверждаемые практикой Европейского суда. </w:t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  <w:t>Во-первых, когда Европейский суд в постановлении укажет, что факт констатации им нарушения Конвенции или Протоколов к ней с</w:t>
      </w:r>
      <w:r w:rsidRPr="009E591B">
        <w:rPr>
          <w:i/>
          <w:iCs/>
          <w:color w:val="auto"/>
        </w:rPr>
        <w:t xml:space="preserve">ам по себе является достаточным для компенсации морального вреда. </w:t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r w:rsidRPr="009E591B">
        <w:rPr>
          <w:i/>
          <w:iCs/>
          <w:color w:val="auto"/>
        </w:rPr>
        <w:tab/>
      </w:r>
      <w:proofErr w:type="gramStart"/>
      <w:r w:rsidRPr="009E591B">
        <w:rPr>
          <w:i/>
          <w:iCs/>
          <w:color w:val="auto"/>
        </w:rPr>
        <w:t>И</w:t>
      </w:r>
      <w:proofErr w:type="gramEnd"/>
      <w:r w:rsidRPr="009E591B">
        <w:rPr>
          <w:i/>
          <w:iCs/>
          <w:color w:val="auto"/>
        </w:rPr>
        <w:t xml:space="preserve"> во-вторых, когда Судом будет установлено отсутствие причинной связи между констатированным им нарушением положений Конвенции или Протоколов к ней и заявленными в Европейском суде тр</w:t>
      </w:r>
      <w:r w:rsidRPr="009E591B">
        <w:rPr>
          <w:i/>
          <w:iCs/>
          <w:color w:val="auto"/>
        </w:rPr>
        <w:t>ебованиями о возмещении материального ущерба.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</w:p>
    <w:p w:rsidR="00950D4F" w:rsidRPr="009E591B" w:rsidRDefault="009E591B" w:rsidP="009E591B">
      <w:pPr>
        <w:pStyle w:val="ab"/>
        <w:shd w:val="clear" w:color="auto" w:fill="FFFFFF"/>
        <w:spacing w:beforeAutospacing="0" w:after="105" w:afterAutospacing="0"/>
        <w:ind w:firstLine="708"/>
        <w:jc w:val="both"/>
        <w:textAlignment w:val="baseline"/>
        <w:rPr>
          <w:color w:val="auto"/>
        </w:rPr>
      </w:pPr>
      <w:r w:rsidRPr="009E591B">
        <w:rPr>
          <w:color w:val="auto"/>
        </w:rPr>
        <w:t>Комитет министров систематически контролирует, где считает необходимым, принятие государствами мер индивидуального характера с целью устранения возможно имеющихся последствий нарушения для заявителя и принима</w:t>
      </w:r>
      <w:r w:rsidRPr="009E591B">
        <w:rPr>
          <w:color w:val="auto"/>
        </w:rPr>
        <w:t xml:space="preserve">ет меры общего характера, чтобы предотвратить риск подобных нарушений Конвенции в будущем. Именно </w:t>
      </w:r>
      <w:proofErr w:type="gramStart"/>
      <w:r w:rsidRPr="009E591B">
        <w:rPr>
          <w:color w:val="auto"/>
        </w:rPr>
        <w:t>контроль за</w:t>
      </w:r>
      <w:proofErr w:type="gramEnd"/>
      <w:r w:rsidRPr="009E591B">
        <w:rPr>
          <w:color w:val="auto"/>
        </w:rPr>
        <w:t xml:space="preserve"> принятием нужных мер и является основной деятельностью Комитета министров при надзоре за исполнением решений Суда.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Меры индивидуального хар</w:t>
      </w:r>
      <w:r w:rsidRPr="009E591B">
        <w:rPr>
          <w:color w:val="auto"/>
        </w:rPr>
        <w:t>актера преследуют цель прекращения нарушений, продолжающихся во времени, и устранения последствий нарушений, совершенных в прошлом, с целью восстановления, насколько это возможно, ситуации, которая имела место до нарушения Конвенции (</w:t>
      </w:r>
      <w:proofErr w:type="spellStart"/>
      <w:r w:rsidRPr="009E591B">
        <w:rPr>
          <w:color w:val="auto"/>
        </w:rPr>
        <w:t>restitutio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integrum</w:t>
      </w:r>
      <w:proofErr w:type="spellEnd"/>
      <w:r w:rsidRPr="009E591B">
        <w:rPr>
          <w:color w:val="auto"/>
        </w:rPr>
        <w:t>).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 xml:space="preserve">Во многих случаях </w:t>
      </w:r>
      <w:proofErr w:type="spellStart"/>
      <w:r w:rsidRPr="009E591B">
        <w:rPr>
          <w:color w:val="auto"/>
        </w:rPr>
        <w:t>restitutio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integrum</w:t>
      </w:r>
      <w:proofErr w:type="spellEnd"/>
      <w:r w:rsidRPr="009E591B">
        <w:rPr>
          <w:color w:val="auto"/>
        </w:rPr>
        <w:t xml:space="preserve"> невозможно ввиду самого характера нарушения. Например, при нарушении ст. 3 Конвенции вследствие пыток или дурного обращения по определению невозможно восстановить ситуацию в том виде, в котором она существов</w:t>
      </w:r>
      <w:r w:rsidRPr="009E591B">
        <w:rPr>
          <w:color w:val="auto"/>
        </w:rPr>
        <w:t>ала до совершения нарушения. Единственной компенсацией в данном случае может быть компенсация материального и морального ущерба.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 xml:space="preserve">Тем не </w:t>
      </w:r>
      <w:proofErr w:type="gramStart"/>
      <w:r w:rsidRPr="009E591B">
        <w:rPr>
          <w:color w:val="auto"/>
        </w:rPr>
        <w:t>менее</w:t>
      </w:r>
      <w:proofErr w:type="gramEnd"/>
      <w:r w:rsidRPr="009E591B">
        <w:rPr>
          <w:color w:val="auto"/>
        </w:rPr>
        <w:t xml:space="preserve"> в ряде дел ущерб, нанесенный заявителю, может быть реально </w:t>
      </w:r>
      <w:r w:rsidRPr="009E591B">
        <w:rPr>
          <w:color w:val="auto"/>
        </w:rPr>
        <w:lastRenderedPageBreak/>
        <w:t>компенсирован лишь посредством принятия государством</w:t>
      </w:r>
      <w:r w:rsidRPr="009E591B">
        <w:rPr>
          <w:color w:val="auto"/>
        </w:rPr>
        <w:t xml:space="preserve">-ответчиком особых мер, с тем чтобы приблизиться к </w:t>
      </w:r>
      <w:proofErr w:type="spellStart"/>
      <w:r w:rsidRPr="009E591B">
        <w:rPr>
          <w:color w:val="auto"/>
        </w:rPr>
        <w:t>restitutio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</w:t>
      </w:r>
      <w:proofErr w:type="spellEnd"/>
      <w:r w:rsidRPr="009E591B">
        <w:rPr>
          <w:color w:val="auto"/>
        </w:rPr>
        <w:t xml:space="preserve"> </w:t>
      </w:r>
      <w:proofErr w:type="spellStart"/>
      <w:r w:rsidRPr="009E591B">
        <w:rPr>
          <w:color w:val="auto"/>
        </w:rPr>
        <w:t>integrum</w:t>
      </w:r>
      <w:proofErr w:type="spellEnd"/>
      <w:r w:rsidRPr="009E591B">
        <w:rPr>
          <w:color w:val="auto"/>
        </w:rPr>
        <w:t xml:space="preserve">. Необходимость таких </w:t>
      </w:r>
      <w:proofErr w:type="gramStart"/>
      <w:r w:rsidRPr="009E591B">
        <w:rPr>
          <w:color w:val="auto"/>
        </w:rPr>
        <w:t>мер</w:t>
      </w:r>
      <w:proofErr w:type="gramEnd"/>
      <w:r w:rsidRPr="009E591B">
        <w:rPr>
          <w:color w:val="auto"/>
        </w:rPr>
        <w:t xml:space="preserve"> и их характер зависят от обстоятельств дела.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Яркий и наиболее часто встречающийся пример меры индивидуального характера — это снятие наложенной в нар</w:t>
      </w:r>
      <w:r w:rsidRPr="009E591B">
        <w:rPr>
          <w:color w:val="auto"/>
        </w:rPr>
        <w:t>ушение Конвенции</w:t>
      </w:r>
      <w:r w:rsidRPr="009E591B">
        <w:rPr>
          <w:rStyle w:val="apple-converted-space"/>
          <w:color w:val="auto"/>
        </w:rPr>
        <w:t> </w:t>
      </w:r>
      <w:hyperlink r:id="rId6">
        <w:r w:rsidRPr="009E591B">
          <w:rPr>
            <w:rStyle w:val="-"/>
            <w:color w:val="auto"/>
            <w:u w:val="none"/>
          </w:rPr>
          <w:t>судимости</w:t>
        </w:r>
      </w:hyperlink>
      <w:r w:rsidRPr="009E591B">
        <w:rPr>
          <w:rStyle w:val="apple-converted-space"/>
          <w:color w:val="auto"/>
        </w:rPr>
        <w:t> </w:t>
      </w:r>
      <w:r w:rsidRPr="009E591B">
        <w:rPr>
          <w:color w:val="auto"/>
        </w:rPr>
        <w:t>и/или восстановление неправомерно изъятых прав.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 xml:space="preserve">Другой мерой индивидуального характера, принимаемой при исполнении решений </w:t>
      </w:r>
      <w:r w:rsidRPr="009E591B">
        <w:rPr>
          <w:color w:val="auto"/>
        </w:rPr>
        <w:t>Суда, является пересмотр внутренними судами дела, в котором было найдено нарушение Конвенции.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  <w:t>В отличие от мер индивидуального характера мерами общего характера являются меры, принимаемые государством с целью предотвращения в будущем новых наруш</w:t>
      </w:r>
      <w:r w:rsidRPr="009E591B">
        <w:rPr>
          <w:color w:val="auto"/>
        </w:rPr>
        <w:t>ений Конвенции, подобных тем, которые были выявлены в решениях Суда.</w:t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color w:val="auto"/>
        </w:rPr>
        <w:tab/>
      </w:r>
      <w:r w:rsidRPr="009E591B">
        <w:rPr>
          <w:rStyle w:val="a4"/>
          <w:rFonts w:cs="Arial"/>
          <w:b w:val="0"/>
          <w:bCs w:val="0"/>
          <w:color w:val="auto"/>
        </w:rPr>
        <w:t xml:space="preserve">Огромная важность мер общего характера состоит в том, что они по определению выходят за пределы данного конкретного дела и затрагивают широкий круг лиц. Принятие мер общего характера </w:t>
      </w:r>
      <w:proofErr w:type="gramStart"/>
      <w:r w:rsidRPr="009E591B">
        <w:rPr>
          <w:rStyle w:val="a4"/>
          <w:rFonts w:cs="Arial"/>
          <w:b w:val="0"/>
          <w:bCs w:val="0"/>
          <w:color w:val="auto"/>
        </w:rPr>
        <w:t>по</w:t>
      </w:r>
      <w:r w:rsidRPr="009E591B">
        <w:rPr>
          <w:rStyle w:val="a4"/>
          <w:rFonts w:cs="Arial"/>
          <w:b w:val="0"/>
          <w:bCs w:val="0"/>
          <w:color w:val="auto"/>
        </w:rPr>
        <w:t>дразумевает</w:t>
      </w:r>
      <w:proofErr w:type="gramEnd"/>
      <w:r w:rsidRPr="009E591B">
        <w:rPr>
          <w:rStyle w:val="a4"/>
          <w:rFonts w:cs="Arial"/>
          <w:b w:val="0"/>
          <w:bCs w:val="0"/>
          <w:color w:val="auto"/>
        </w:rPr>
        <w:t xml:space="preserve"> прежде всего анализ причин, приведших к нарушению Конвенции, и поиск путей их устранения.</w:t>
      </w:r>
    </w:p>
    <w:p w:rsidR="00950D4F" w:rsidRPr="009E591B" w:rsidRDefault="009E591B" w:rsidP="009E591B">
      <w:pPr>
        <w:pStyle w:val="ConsPlusNormal"/>
        <w:shd w:val="clear" w:color="auto" w:fill="FFFFFF"/>
        <w:ind w:firstLine="708"/>
        <w:jc w:val="both"/>
        <w:outlineLvl w:val="1"/>
        <w:rPr>
          <w:rFonts w:ascii="Times New Roman" w:hAnsi="Times New Roman"/>
          <w:b/>
          <w:bCs/>
          <w:color w:val="auto"/>
          <w:sz w:val="24"/>
        </w:rPr>
      </w:pPr>
      <w:r w:rsidRPr="009E591B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50D4F" w:rsidRPr="009E591B" w:rsidRDefault="009E591B" w:rsidP="009E591B">
      <w:pPr>
        <w:pStyle w:val="ConsPlusNormal"/>
        <w:shd w:val="clear" w:color="auto" w:fill="FFFFFF"/>
        <w:ind w:firstLine="708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  <w:r w:rsidRPr="009E591B">
        <w:rPr>
          <w:rFonts w:ascii="Times New Roman" w:hAnsi="Times New Roman"/>
          <w:i/>
          <w:iCs/>
          <w:color w:val="auto"/>
          <w:sz w:val="24"/>
        </w:rPr>
        <w:t xml:space="preserve">С целью эффективной защиты прав и свобод человека судами учитываются правовые позиции Европейского Суда по правам человека, изложенные в </w:t>
      </w:r>
      <w:r w:rsidRPr="009E591B">
        <w:rPr>
          <w:rFonts w:ascii="Times New Roman" w:hAnsi="Times New Roman"/>
          <w:i/>
          <w:iCs/>
          <w:color w:val="auto"/>
          <w:sz w:val="24"/>
        </w:rPr>
        <w:t xml:space="preserve">ставших окончательными постановлениях, которые приняты в отношении других государств - участников Конвенции. При этом правовая позиция учитывается судом, если обстоятельства рассматриваемого им дела являются аналогичными обстоятельствам, ставшим предметом </w:t>
      </w:r>
      <w:r w:rsidRPr="009E591B">
        <w:rPr>
          <w:rFonts w:ascii="Times New Roman" w:hAnsi="Times New Roman"/>
          <w:i/>
          <w:iCs/>
          <w:color w:val="auto"/>
          <w:sz w:val="24"/>
        </w:rPr>
        <w:t>анализа и выводов Европейского Суда по правам человека.</w:t>
      </w:r>
    </w:p>
    <w:sectPr w:rsidR="00950D4F" w:rsidRPr="009E591B" w:rsidSect="00950D4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4F"/>
    <w:rsid w:val="00950D4F"/>
    <w:rsid w:val="009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6C112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C112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C1129"/>
    <w:rPr>
      <w:rFonts w:cs="OpenSymbol"/>
    </w:rPr>
  </w:style>
  <w:style w:type="character" w:customStyle="1" w:styleId="ListLabel3">
    <w:name w:val="ListLabel 3"/>
    <w:qFormat/>
    <w:rsid w:val="006C1129"/>
    <w:rPr>
      <w:rFonts w:cs="OpenSymbol"/>
    </w:rPr>
  </w:style>
  <w:style w:type="character" w:customStyle="1" w:styleId="ListLabel4">
    <w:name w:val="ListLabel 4"/>
    <w:qFormat/>
    <w:rsid w:val="006C1129"/>
    <w:rPr>
      <w:rFonts w:cs="OpenSymbol"/>
    </w:rPr>
  </w:style>
  <w:style w:type="character" w:customStyle="1" w:styleId="ListLabel5">
    <w:name w:val="ListLabel 5"/>
    <w:qFormat/>
    <w:rsid w:val="006C1129"/>
    <w:rPr>
      <w:rFonts w:cs="OpenSymbol"/>
    </w:rPr>
  </w:style>
  <w:style w:type="character" w:customStyle="1" w:styleId="ListLabel6">
    <w:name w:val="ListLabel 6"/>
    <w:qFormat/>
    <w:rsid w:val="006C1129"/>
    <w:rPr>
      <w:rFonts w:cs="OpenSymbol"/>
    </w:rPr>
  </w:style>
  <w:style w:type="character" w:customStyle="1" w:styleId="ListLabel7">
    <w:name w:val="ListLabel 7"/>
    <w:qFormat/>
    <w:rsid w:val="006C1129"/>
    <w:rPr>
      <w:rFonts w:cs="OpenSymbol"/>
    </w:rPr>
  </w:style>
  <w:style w:type="character" w:customStyle="1" w:styleId="ListLabel8">
    <w:name w:val="ListLabel 8"/>
    <w:qFormat/>
    <w:rsid w:val="006C1129"/>
    <w:rPr>
      <w:rFonts w:cs="OpenSymbol"/>
    </w:rPr>
  </w:style>
  <w:style w:type="character" w:customStyle="1" w:styleId="ListLabel9">
    <w:name w:val="ListLabel 9"/>
    <w:qFormat/>
    <w:rsid w:val="006C1129"/>
    <w:rPr>
      <w:rFonts w:cs="OpenSymbol"/>
    </w:rPr>
  </w:style>
  <w:style w:type="character" w:styleId="a4">
    <w:name w:val="Strong"/>
    <w:basedOn w:val="a0"/>
    <w:qFormat/>
    <w:rsid w:val="006C1129"/>
    <w:rPr>
      <w:b/>
      <w:bCs/>
    </w:rPr>
  </w:style>
  <w:style w:type="character" w:customStyle="1" w:styleId="ListLabel10">
    <w:name w:val="ListLabel 10"/>
    <w:qFormat/>
    <w:rsid w:val="006C112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6C1129"/>
    <w:rPr>
      <w:rFonts w:cs="OpenSymbol"/>
    </w:rPr>
  </w:style>
  <w:style w:type="character" w:customStyle="1" w:styleId="ListLabel12">
    <w:name w:val="ListLabel 12"/>
    <w:qFormat/>
    <w:rsid w:val="006C1129"/>
    <w:rPr>
      <w:rFonts w:cs="OpenSymbol"/>
    </w:rPr>
  </w:style>
  <w:style w:type="character" w:customStyle="1" w:styleId="ListLabel13">
    <w:name w:val="ListLabel 13"/>
    <w:qFormat/>
    <w:rsid w:val="006C1129"/>
    <w:rPr>
      <w:rFonts w:cs="OpenSymbol"/>
    </w:rPr>
  </w:style>
  <w:style w:type="character" w:customStyle="1" w:styleId="ListLabel14">
    <w:name w:val="ListLabel 14"/>
    <w:qFormat/>
    <w:rsid w:val="006C1129"/>
    <w:rPr>
      <w:rFonts w:cs="OpenSymbol"/>
    </w:rPr>
  </w:style>
  <w:style w:type="character" w:customStyle="1" w:styleId="ListLabel15">
    <w:name w:val="ListLabel 15"/>
    <w:qFormat/>
    <w:rsid w:val="006C1129"/>
    <w:rPr>
      <w:rFonts w:cs="OpenSymbol"/>
    </w:rPr>
  </w:style>
  <w:style w:type="character" w:customStyle="1" w:styleId="ListLabel16">
    <w:name w:val="ListLabel 16"/>
    <w:qFormat/>
    <w:rsid w:val="006C1129"/>
    <w:rPr>
      <w:rFonts w:cs="OpenSymbol"/>
    </w:rPr>
  </w:style>
  <w:style w:type="character" w:customStyle="1" w:styleId="ListLabel17">
    <w:name w:val="ListLabel 17"/>
    <w:qFormat/>
    <w:rsid w:val="006C1129"/>
    <w:rPr>
      <w:rFonts w:cs="OpenSymbol"/>
    </w:rPr>
  </w:style>
  <w:style w:type="character" w:customStyle="1" w:styleId="ListLabel18">
    <w:name w:val="ListLabel 18"/>
    <w:qFormat/>
    <w:rsid w:val="006C1129"/>
    <w:rPr>
      <w:rFonts w:cs="OpenSymbol"/>
    </w:rPr>
  </w:style>
  <w:style w:type="character" w:customStyle="1" w:styleId="ListLabel19">
    <w:name w:val="ListLabel 19"/>
    <w:qFormat/>
    <w:rsid w:val="006C1129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6C1129"/>
    <w:rPr>
      <w:rFonts w:cs="OpenSymbol"/>
    </w:rPr>
  </w:style>
  <w:style w:type="character" w:customStyle="1" w:styleId="ListLabel21">
    <w:name w:val="ListLabel 21"/>
    <w:qFormat/>
    <w:rsid w:val="006C1129"/>
    <w:rPr>
      <w:rFonts w:cs="OpenSymbol"/>
    </w:rPr>
  </w:style>
  <w:style w:type="character" w:customStyle="1" w:styleId="ListLabel22">
    <w:name w:val="ListLabel 22"/>
    <w:qFormat/>
    <w:rsid w:val="006C1129"/>
    <w:rPr>
      <w:rFonts w:cs="OpenSymbol"/>
    </w:rPr>
  </w:style>
  <w:style w:type="character" w:customStyle="1" w:styleId="ListLabel23">
    <w:name w:val="ListLabel 23"/>
    <w:qFormat/>
    <w:rsid w:val="006C1129"/>
    <w:rPr>
      <w:rFonts w:cs="OpenSymbol"/>
    </w:rPr>
  </w:style>
  <w:style w:type="character" w:customStyle="1" w:styleId="ListLabel24">
    <w:name w:val="ListLabel 24"/>
    <w:qFormat/>
    <w:rsid w:val="006C1129"/>
    <w:rPr>
      <w:rFonts w:cs="OpenSymbol"/>
    </w:rPr>
  </w:style>
  <w:style w:type="character" w:customStyle="1" w:styleId="ListLabel25">
    <w:name w:val="ListLabel 25"/>
    <w:qFormat/>
    <w:rsid w:val="006C1129"/>
    <w:rPr>
      <w:rFonts w:cs="OpenSymbol"/>
    </w:rPr>
  </w:style>
  <w:style w:type="character" w:customStyle="1" w:styleId="ListLabel26">
    <w:name w:val="ListLabel 26"/>
    <w:qFormat/>
    <w:rsid w:val="006C1129"/>
    <w:rPr>
      <w:rFonts w:cs="OpenSymbol"/>
    </w:rPr>
  </w:style>
  <w:style w:type="character" w:customStyle="1" w:styleId="ListLabel27">
    <w:name w:val="ListLabel 27"/>
    <w:qFormat/>
    <w:rsid w:val="006C1129"/>
    <w:rPr>
      <w:rFonts w:cs="OpenSymbol"/>
    </w:rPr>
  </w:style>
  <w:style w:type="character" w:customStyle="1" w:styleId="ListLabel28">
    <w:name w:val="ListLabel 28"/>
    <w:qFormat/>
    <w:rsid w:val="006C1129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6C1129"/>
    <w:rPr>
      <w:rFonts w:cs="OpenSymbol"/>
    </w:rPr>
  </w:style>
  <w:style w:type="character" w:customStyle="1" w:styleId="ListLabel30">
    <w:name w:val="ListLabel 30"/>
    <w:qFormat/>
    <w:rsid w:val="006C1129"/>
    <w:rPr>
      <w:rFonts w:cs="OpenSymbol"/>
    </w:rPr>
  </w:style>
  <w:style w:type="character" w:customStyle="1" w:styleId="ListLabel31">
    <w:name w:val="ListLabel 31"/>
    <w:qFormat/>
    <w:rsid w:val="006C1129"/>
    <w:rPr>
      <w:rFonts w:cs="OpenSymbol"/>
    </w:rPr>
  </w:style>
  <w:style w:type="character" w:customStyle="1" w:styleId="ListLabel32">
    <w:name w:val="ListLabel 32"/>
    <w:qFormat/>
    <w:rsid w:val="006C1129"/>
    <w:rPr>
      <w:rFonts w:cs="OpenSymbol"/>
    </w:rPr>
  </w:style>
  <w:style w:type="character" w:customStyle="1" w:styleId="ListLabel33">
    <w:name w:val="ListLabel 33"/>
    <w:qFormat/>
    <w:rsid w:val="006C1129"/>
    <w:rPr>
      <w:rFonts w:cs="OpenSymbol"/>
    </w:rPr>
  </w:style>
  <w:style w:type="character" w:customStyle="1" w:styleId="ListLabel34">
    <w:name w:val="ListLabel 34"/>
    <w:qFormat/>
    <w:rsid w:val="006C1129"/>
    <w:rPr>
      <w:rFonts w:cs="OpenSymbol"/>
    </w:rPr>
  </w:style>
  <w:style w:type="character" w:customStyle="1" w:styleId="ListLabel35">
    <w:name w:val="ListLabel 35"/>
    <w:qFormat/>
    <w:rsid w:val="006C1129"/>
    <w:rPr>
      <w:rFonts w:cs="OpenSymbol"/>
    </w:rPr>
  </w:style>
  <w:style w:type="character" w:customStyle="1" w:styleId="ListLabel36">
    <w:name w:val="ListLabel 36"/>
    <w:qFormat/>
    <w:rsid w:val="006C1129"/>
    <w:rPr>
      <w:rFonts w:cs="OpenSymbol"/>
    </w:rPr>
  </w:style>
  <w:style w:type="character" w:customStyle="1" w:styleId="ListLabel37">
    <w:name w:val="ListLabel 37"/>
    <w:qFormat/>
    <w:rsid w:val="006C1129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6C1129"/>
    <w:rPr>
      <w:rFonts w:cs="OpenSymbol"/>
    </w:rPr>
  </w:style>
  <w:style w:type="character" w:customStyle="1" w:styleId="ListLabel39">
    <w:name w:val="ListLabel 39"/>
    <w:qFormat/>
    <w:rsid w:val="006C1129"/>
    <w:rPr>
      <w:rFonts w:cs="OpenSymbol"/>
    </w:rPr>
  </w:style>
  <w:style w:type="character" w:customStyle="1" w:styleId="ListLabel40">
    <w:name w:val="ListLabel 40"/>
    <w:qFormat/>
    <w:rsid w:val="006C1129"/>
    <w:rPr>
      <w:rFonts w:cs="OpenSymbol"/>
    </w:rPr>
  </w:style>
  <w:style w:type="character" w:customStyle="1" w:styleId="ListLabel41">
    <w:name w:val="ListLabel 41"/>
    <w:qFormat/>
    <w:rsid w:val="006C1129"/>
    <w:rPr>
      <w:rFonts w:cs="OpenSymbol"/>
    </w:rPr>
  </w:style>
  <w:style w:type="character" w:customStyle="1" w:styleId="ListLabel42">
    <w:name w:val="ListLabel 42"/>
    <w:qFormat/>
    <w:rsid w:val="006C1129"/>
    <w:rPr>
      <w:rFonts w:cs="OpenSymbol"/>
    </w:rPr>
  </w:style>
  <w:style w:type="character" w:customStyle="1" w:styleId="ListLabel43">
    <w:name w:val="ListLabel 43"/>
    <w:qFormat/>
    <w:rsid w:val="006C1129"/>
    <w:rPr>
      <w:rFonts w:cs="OpenSymbol"/>
    </w:rPr>
  </w:style>
  <w:style w:type="character" w:customStyle="1" w:styleId="ListLabel44">
    <w:name w:val="ListLabel 44"/>
    <w:qFormat/>
    <w:rsid w:val="006C1129"/>
    <w:rPr>
      <w:rFonts w:cs="OpenSymbol"/>
    </w:rPr>
  </w:style>
  <w:style w:type="character" w:customStyle="1" w:styleId="ListLabel45">
    <w:name w:val="ListLabel 45"/>
    <w:qFormat/>
    <w:rsid w:val="006C1129"/>
    <w:rPr>
      <w:rFonts w:cs="OpenSymbol"/>
    </w:rPr>
  </w:style>
  <w:style w:type="character" w:customStyle="1" w:styleId="ListLabel46">
    <w:name w:val="ListLabel 46"/>
    <w:qFormat/>
    <w:rsid w:val="006C1129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6C1129"/>
    <w:rPr>
      <w:rFonts w:cs="OpenSymbol"/>
    </w:rPr>
  </w:style>
  <w:style w:type="character" w:customStyle="1" w:styleId="ListLabel48">
    <w:name w:val="ListLabel 48"/>
    <w:qFormat/>
    <w:rsid w:val="006C1129"/>
    <w:rPr>
      <w:rFonts w:cs="OpenSymbol"/>
    </w:rPr>
  </w:style>
  <w:style w:type="character" w:customStyle="1" w:styleId="ListLabel49">
    <w:name w:val="ListLabel 49"/>
    <w:qFormat/>
    <w:rsid w:val="006C1129"/>
    <w:rPr>
      <w:rFonts w:cs="OpenSymbol"/>
    </w:rPr>
  </w:style>
  <w:style w:type="character" w:customStyle="1" w:styleId="ListLabel50">
    <w:name w:val="ListLabel 50"/>
    <w:qFormat/>
    <w:rsid w:val="006C1129"/>
    <w:rPr>
      <w:rFonts w:cs="OpenSymbol"/>
    </w:rPr>
  </w:style>
  <w:style w:type="character" w:customStyle="1" w:styleId="ListLabel51">
    <w:name w:val="ListLabel 51"/>
    <w:qFormat/>
    <w:rsid w:val="006C1129"/>
    <w:rPr>
      <w:rFonts w:cs="OpenSymbol"/>
    </w:rPr>
  </w:style>
  <w:style w:type="character" w:customStyle="1" w:styleId="ListLabel52">
    <w:name w:val="ListLabel 52"/>
    <w:qFormat/>
    <w:rsid w:val="006C1129"/>
    <w:rPr>
      <w:rFonts w:cs="OpenSymbol"/>
    </w:rPr>
  </w:style>
  <w:style w:type="character" w:customStyle="1" w:styleId="ListLabel53">
    <w:name w:val="ListLabel 53"/>
    <w:qFormat/>
    <w:rsid w:val="006C1129"/>
    <w:rPr>
      <w:rFonts w:cs="OpenSymbol"/>
    </w:rPr>
  </w:style>
  <w:style w:type="character" w:customStyle="1" w:styleId="ListLabel54">
    <w:name w:val="ListLabel 54"/>
    <w:qFormat/>
    <w:rsid w:val="006C1129"/>
    <w:rPr>
      <w:rFonts w:cs="OpenSymbol"/>
    </w:rPr>
  </w:style>
  <w:style w:type="character" w:customStyle="1" w:styleId="ListLabel55">
    <w:name w:val="ListLabel 55"/>
    <w:qFormat/>
    <w:rsid w:val="006C1129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6C1129"/>
    <w:rPr>
      <w:rFonts w:cs="OpenSymbol"/>
    </w:rPr>
  </w:style>
  <w:style w:type="character" w:customStyle="1" w:styleId="ListLabel57">
    <w:name w:val="ListLabel 57"/>
    <w:qFormat/>
    <w:rsid w:val="006C1129"/>
    <w:rPr>
      <w:rFonts w:cs="OpenSymbol"/>
    </w:rPr>
  </w:style>
  <w:style w:type="character" w:customStyle="1" w:styleId="ListLabel58">
    <w:name w:val="ListLabel 58"/>
    <w:qFormat/>
    <w:rsid w:val="006C1129"/>
    <w:rPr>
      <w:rFonts w:cs="OpenSymbol"/>
    </w:rPr>
  </w:style>
  <w:style w:type="character" w:customStyle="1" w:styleId="ListLabel59">
    <w:name w:val="ListLabel 59"/>
    <w:qFormat/>
    <w:rsid w:val="006C1129"/>
    <w:rPr>
      <w:rFonts w:cs="OpenSymbol"/>
    </w:rPr>
  </w:style>
  <w:style w:type="character" w:customStyle="1" w:styleId="ListLabel60">
    <w:name w:val="ListLabel 60"/>
    <w:qFormat/>
    <w:rsid w:val="006C1129"/>
    <w:rPr>
      <w:rFonts w:cs="OpenSymbol"/>
    </w:rPr>
  </w:style>
  <w:style w:type="character" w:customStyle="1" w:styleId="ListLabel61">
    <w:name w:val="ListLabel 61"/>
    <w:qFormat/>
    <w:rsid w:val="006C1129"/>
    <w:rPr>
      <w:rFonts w:cs="OpenSymbol"/>
    </w:rPr>
  </w:style>
  <w:style w:type="character" w:customStyle="1" w:styleId="ListLabel62">
    <w:name w:val="ListLabel 62"/>
    <w:qFormat/>
    <w:rsid w:val="006C1129"/>
    <w:rPr>
      <w:rFonts w:cs="OpenSymbol"/>
    </w:rPr>
  </w:style>
  <w:style w:type="character" w:customStyle="1" w:styleId="ListLabel63">
    <w:name w:val="ListLabel 63"/>
    <w:qFormat/>
    <w:rsid w:val="006C1129"/>
    <w:rPr>
      <w:rFonts w:cs="OpenSymbol"/>
    </w:rPr>
  </w:style>
  <w:style w:type="character" w:customStyle="1" w:styleId="ListLabel64">
    <w:name w:val="ListLabel 64"/>
    <w:qFormat/>
    <w:rsid w:val="006C1129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6C1129"/>
    <w:rPr>
      <w:rFonts w:cs="OpenSymbol"/>
    </w:rPr>
  </w:style>
  <w:style w:type="character" w:customStyle="1" w:styleId="ListLabel66">
    <w:name w:val="ListLabel 66"/>
    <w:qFormat/>
    <w:rsid w:val="006C1129"/>
    <w:rPr>
      <w:rFonts w:cs="OpenSymbol"/>
    </w:rPr>
  </w:style>
  <w:style w:type="character" w:customStyle="1" w:styleId="ListLabel67">
    <w:name w:val="ListLabel 67"/>
    <w:qFormat/>
    <w:rsid w:val="006C1129"/>
    <w:rPr>
      <w:rFonts w:cs="OpenSymbol"/>
    </w:rPr>
  </w:style>
  <w:style w:type="character" w:customStyle="1" w:styleId="ListLabel68">
    <w:name w:val="ListLabel 68"/>
    <w:qFormat/>
    <w:rsid w:val="006C1129"/>
    <w:rPr>
      <w:rFonts w:cs="OpenSymbol"/>
    </w:rPr>
  </w:style>
  <w:style w:type="character" w:customStyle="1" w:styleId="ListLabel69">
    <w:name w:val="ListLabel 69"/>
    <w:qFormat/>
    <w:rsid w:val="006C1129"/>
    <w:rPr>
      <w:rFonts w:cs="OpenSymbol"/>
    </w:rPr>
  </w:style>
  <w:style w:type="character" w:customStyle="1" w:styleId="ListLabel70">
    <w:name w:val="ListLabel 70"/>
    <w:qFormat/>
    <w:rsid w:val="006C1129"/>
    <w:rPr>
      <w:rFonts w:cs="OpenSymbol"/>
    </w:rPr>
  </w:style>
  <w:style w:type="character" w:customStyle="1" w:styleId="ListLabel71">
    <w:name w:val="ListLabel 71"/>
    <w:qFormat/>
    <w:rsid w:val="006C1129"/>
    <w:rPr>
      <w:rFonts w:cs="OpenSymbol"/>
    </w:rPr>
  </w:style>
  <w:style w:type="character" w:customStyle="1" w:styleId="ListLabel72">
    <w:name w:val="ListLabel 72"/>
    <w:qFormat/>
    <w:rsid w:val="006C1129"/>
    <w:rPr>
      <w:rFonts w:cs="OpenSymbol"/>
    </w:rPr>
  </w:style>
  <w:style w:type="character" w:customStyle="1" w:styleId="ListLabel73">
    <w:name w:val="ListLabel 73"/>
    <w:qFormat/>
    <w:rsid w:val="006C1129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6C1129"/>
    <w:rPr>
      <w:rFonts w:cs="OpenSymbol"/>
    </w:rPr>
  </w:style>
  <w:style w:type="character" w:customStyle="1" w:styleId="ListLabel75">
    <w:name w:val="ListLabel 75"/>
    <w:qFormat/>
    <w:rsid w:val="006C1129"/>
    <w:rPr>
      <w:rFonts w:cs="OpenSymbol"/>
    </w:rPr>
  </w:style>
  <w:style w:type="character" w:customStyle="1" w:styleId="ListLabel76">
    <w:name w:val="ListLabel 76"/>
    <w:qFormat/>
    <w:rsid w:val="006C1129"/>
    <w:rPr>
      <w:rFonts w:cs="OpenSymbol"/>
    </w:rPr>
  </w:style>
  <w:style w:type="character" w:customStyle="1" w:styleId="ListLabel77">
    <w:name w:val="ListLabel 77"/>
    <w:qFormat/>
    <w:rsid w:val="006C1129"/>
    <w:rPr>
      <w:rFonts w:cs="OpenSymbol"/>
    </w:rPr>
  </w:style>
  <w:style w:type="character" w:customStyle="1" w:styleId="ListLabel78">
    <w:name w:val="ListLabel 78"/>
    <w:qFormat/>
    <w:rsid w:val="006C1129"/>
    <w:rPr>
      <w:rFonts w:cs="OpenSymbol"/>
    </w:rPr>
  </w:style>
  <w:style w:type="character" w:customStyle="1" w:styleId="ListLabel79">
    <w:name w:val="ListLabel 79"/>
    <w:qFormat/>
    <w:rsid w:val="006C1129"/>
    <w:rPr>
      <w:rFonts w:cs="OpenSymbol"/>
    </w:rPr>
  </w:style>
  <w:style w:type="character" w:customStyle="1" w:styleId="ListLabel80">
    <w:name w:val="ListLabel 80"/>
    <w:qFormat/>
    <w:rsid w:val="006C1129"/>
    <w:rPr>
      <w:rFonts w:cs="OpenSymbol"/>
    </w:rPr>
  </w:style>
  <w:style w:type="character" w:customStyle="1" w:styleId="ListLabel81">
    <w:name w:val="ListLabel 81"/>
    <w:qFormat/>
    <w:rsid w:val="006C1129"/>
    <w:rPr>
      <w:rFonts w:cs="OpenSymbol"/>
    </w:rPr>
  </w:style>
  <w:style w:type="character" w:customStyle="1" w:styleId="ListLabel82">
    <w:name w:val="ListLabel 82"/>
    <w:qFormat/>
    <w:rsid w:val="006C1129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6C1129"/>
    <w:rPr>
      <w:rFonts w:cs="OpenSymbol"/>
    </w:rPr>
  </w:style>
  <w:style w:type="character" w:customStyle="1" w:styleId="ListLabel84">
    <w:name w:val="ListLabel 84"/>
    <w:qFormat/>
    <w:rsid w:val="006C1129"/>
    <w:rPr>
      <w:rFonts w:cs="OpenSymbol"/>
    </w:rPr>
  </w:style>
  <w:style w:type="character" w:customStyle="1" w:styleId="ListLabel85">
    <w:name w:val="ListLabel 85"/>
    <w:qFormat/>
    <w:rsid w:val="006C1129"/>
    <w:rPr>
      <w:rFonts w:cs="OpenSymbol"/>
    </w:rPr>
  </w:style>
  <w:style w:type="character" w:customStyle="1" w:styleId="ListLabel86">
    <w:name w:val="ListLabel 86"/>
    <w:qFormat/>
    <w:rsid w:val="006C1129"/>
    <w:rPr>
      <w:rFonts w:cs="OpenSymbol"/>
    </w:rPr>
  </w:style>
  <w:style w:type="character" w:customStyle="1" w:styleId="ListLabel87">
    <w:name w:val="ListLabel 87"/>
    <w:qFormat/>
    <w:rsid w:val="006C1129"/>
    <w:rPr>
      <w:rFonts w:cs="OpenSymbol"/>
    </w:rPr>
  </w:style>
  <w:style w:type="character" w:customStyle="1" w:styleId="ListLabel88">
    <w:name w:val="ListLabel 88"/>
    <w:qFormat/>
    <w:rsid w:val="006C1129"/>
    <w:rPr>
      <w:rFonts w:cs="OpenSymbol"/>
    </w:rPr>
  </w:style>
  <w:style w:type="character" w:customStyle="1" w:styleId="ListLabel89">
    <w:name w:val="ListLabel 89"/>
    <w:qFormat/>
    <w:rsid w:val="006C1129"/>
    <w:rPr>
      <w:rFonts w:cs="OpenSymbol"/>
    </w:rPr>
  </w:style>
  <w:style w:type="character" w:customStyle="1" w:styleId="ListLabel90">
    <w:name w:val="ListLabel 90"/>
    <w:qFormat/>
    <w:rsid w:val="006C1129"/>
    <w:rPr>
      <w:rFonts w:cs="OpenSymbol"/>
    </w:rPr>
  </w:style>
  <w:style w:type="character" w:customStyle="1" w:styleId="ListLabel91">
    <w:name w:val="ListLabel 91"/>
    <w:qFormat/>
    <w:rsid w:val="006C1129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6C1129"/>
    <w:rPr>
      <w:rFonts w:cs="OpenSymbol"/>
    </w:rPr>
  </w:style>
  <w:style w:type="character" w:customStyle="1" w:styleId="ListLabel93">
    <w:name w:val="ListLabel 93"/>
    <w:qFormat/>
    <w:rsid w:val="006C1129"/>
    <w:rPr>
      <w:rFonts w:cs="OpenSymbol"/>
    </w:rPr>
  </w:style>
  <w:style w:type="character" w:customStyle="1" w:styleId="ListLabel94">
    <w:name w:val="ListLabel 94"/>
    <w:qFormat/>
    <w:rsid w:val="006C1129"/>
    <w:rPr>
      <w:rFonts w:cs="OpenSymbol"/>
    </w:rPr>
  </w:style>
  <w:style w:type="character" w:customStyle="1" w:styleId="ListLabel95">
    <w:name w:val="ListLabel 95"/>
    <w:qFormat/>
    <w:rsid w:val="006C1129"/>
    <w:rPr>
      <w:rFonts w:cs="OpenSymbol"/>
    </w:rPr>
  </w:style>
  <w:style w:type="character" w:customStyle="1" w:styleId="ListLabel96">
    <w:name w:val="ListLabel 96"/>
    <w:qFormat/>
    <w:rsid w:val="006C1129"/>
    <w:rPr>
      <w:rFonts w:cs="OpenSymbol"/>
    </w:rPr>
  </w:style>
  <w:style w:type="character" w:customStyle="1" w:styleId="ListLabel97">
    <w:name w:val="ListLabel 97"/>
    <w:qFormat/>
    <w:rsid w:val="006C1129"/>
    <w:rPr>
      <w:rFonts w:cs="OpenSymbol"/>
    </w:rPr>
  </w:style>
  <w:style w:type="character" w:customStyle="1" w:styleId="ListLabel98">
    <w:name w:val="ListLabel 98"/>
    <w:qFormat/>
    <w:rsid w:val="006C1129"/>
    <w:rPr>
      <w:rFonts w:cs="OpenSymbol"/>
    </w:rPr>
  </w:style>
  <w:style w:type="character" w:customStyle="1" w:styleId="ListLabel99">
    <w:name w:val="ListLabel 99"/>
    <w:qFormat/>
    <w:rsid w:val="006C1129"/>
    <w:rPr>
      <w:rFonts w:cs="OpenSymbol"/>
    </w:rPr>
  </w:style>
  <w:style w:type="character" w:customStyle="1" w:styleId="a5">
    <w:name w:val="Верхний колонтитул Знак"/>
    <w:basedOn w:val="a0"/>
    <w:uiPriority w:val="99"/>
    <w:semiHidden/>
    <w:qFormat/>
    <w:rsid w:val="00F94C43"/>
    <w:rPr>
      <w:color w:val="00000A"/>
      <w:sz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F94C43"/>
    <w:rPr>
      <w:color w:val="00000A"/>
      <w:sz w:val="22"/>
    </w:rPr>
  </w:style>
  <w:style w:type="paragraph" w:customStyle="1" w:styleId="a7">
    <w:name w:val="Заголовок"/>
    <w:basedOn w:val="a"/>
    <w:next w:val="a8"/>
    <w:qFormat/>
    <w:rsid w:val="006C11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C1129"/>
    <w:pPr>
      <w:spacing w:after="140" w:line="288" w:lineRule="auto"/>
    </w:pPr>
  </w:style>
  <w:style w:type="paragraph" w:styleId="a9">
    <w:name w:val="List"/>
    <w:basedOn w:val="a8"/>
    <w:rsid w:val="006C1129"/>
    <w:rPr>
      <w:rFonts w:cs="Mangal"/>
    </w:rPr>
  </w:style>
  <w:style w:type="paragraph" w:customStyle="1" w:styleId="Caption">
    <w:name w:val="Caption"/>
    <w:basedOn w:val="a"/>
    <w:qFormat/>
    <w:rsid w:val="006C11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C1129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C1129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6C1129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customStyle="1" w:styleId="Header">
    <w:name w:val="Header"/>
    <w:basedOn w:val="a"/>
    <w:uiPriority w:val="99"/>
    <w:semiHidden/>
    <w:unhideWhenUsed/>
    <w:rsid w:val="00F94C4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94C4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quest.ru/ugolovnoe-pravo/sudimost-pogashenie-i-snyatie-sudimosti.html" TargetMode="External"/><Relationship Id="rId5" Type="http://schemas.openxmlformats.org/officeDocument/2006/relationships/hyperlink" Target="http://legalquest.ru/evropejskij-sud/osnovnye-usloviya-obrashheniya-v-evropejskij-sud-po-pravam-cheloveka.html" TargetMode="External"/><Relationship Id="rId4" Type="http://schemas.openxmlformats.org/officeDocument/2006/relationships/hyperlink" Target="http://legalquest.ru/evropejskij-sud/obshhaya-xarakteristika-konvencii-o-zashhite-prav-cheloveka-i-osnovnyx-svobod-1950-g-i-protokolov-k-n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103</cp:revision>
  <dcterms:created xsi:type="dcterms:W3CDTF">2014-03-25T18:57:00Z</dcterms:created>
  <dcterms:modified xsi:type="dcterms:W3CDTF">2019-01-04T18:26:00Z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