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01" w:rsidRDefault="00707504">
      <w:pPr>
        <w:pStyle w:val="ConsPlusNormal"/>
        <w:ind w:firstLine="540"/>
        <w:jc w:val="center"/>
        <w:rPr>
          <w:rFonts w:ascii="Times New Roman" w:hAnsi="Times New Roman" w:cs="Times New Roman"/>
          <w:b/>
          <w:bCs/>
          <w:color w:val="auto"/>
          <w:sz w:val="24"/>
        </w:rPr>
      </w:pPr>
      <w:r>
        <w:rPr>
          <w:rFonts w:ascii="Times New Roman" w:hAnsi="Times New Roman" w:cs="Times New Roman"/>
          <w:b/>
          <w:bCs/>
          <w:color w:val="auto"/>
          <w:sz w:val="24"/>
        </w:rPr>
        <w:t>Понятие и виды сделок. Форма сделок. Условия действительности сделок.</w:t>
      </w:r>
    </w:p>
    <w:p w:rsidR="00246D01" w:rsidRDefault="00246D01">
      <w:pPr>
        <w:pStyle w:val="ConsPlusNormal"/>
        <w:ind w:firstLine="540"/>
        <w:jc w:val="both"/>
        <w:rPr>
          <w:rFonts w:ascii="Times New Roman" w:hAnsi="Times New Roman" w:cs="Times New Roman"/>
          <w:b/>
          <w:bCs/>
          <w:color w:val="auto"/>
          <w:sz w:val="24"/>
        </w:rPr>
      </w:pP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b/>
          <w:bCs/>
          <w:color w:val="auto"/>
        </w:rPr>
      </w:pPr>
      <w:r>
        <w:rPr>
          <w:rFonts w:ascii="Times New Roman" w:hAnsi="Times New Roman" w:cs="Times New Roman"/>
          <w:b/>
          <w:bCs/>
          <w:color w:val="auto"/>
          <w:sz w:val="24"/>
        </w:rPr>
        <w:tab/>
        <w:t>Дополнительно!</w:t>
      </w:r>
    </w:p>
    <w:p w:rsidR="00246D01" w:rsidRDefault="00707504">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i/>
          <w:iCs/>
          <w:color w:val="auto"/>
          <w:sz w:val="24"/>
        </w:rPr>
        <w:t>Круг сделок не ограничен в ГК РФ и других законах; возможно совершение сделок, хотя и не предусмотренных законом, но не противоречащих ему, а также сочетающих элементы различных сделок.</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Сделки могут быть двух- или многосторонними (договоры) и односторонними.</w:t>
      </w:r>
      <w:r>
        <w:rPr>
          <w:rFonts w:ascii="Times New Roman" w:hAnsi="Times New Roman" w:cs="Times New Roman"/>
          <w:color w:val="auto"/>
          <w:sz w:val="24"/>
        </w:rPr>
        <w:tab/>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6D01" w:rsidRDefault="00707504">
      <w:pPr>
        <w:pStyle w:val="ConsPlusNormal"/>
        <w:ind w:firstLine="540"/>
        <w:jc w:val="both"/>
        <w:rPr>
          <w:i/>
          <w:iCs/>
          <w:color w:val="auto"/>
        </w:rPr>
      </w:pPr>
      <w:r>
        <w:rPr>
          <w:rFonts w:ascii="Times New Roman" w:hAnsi="Times New Roman" w:cs="Times New Roman"/>
          <w:i/>
          <w:iCs/>
          <w:color w:val="auto"/>
          <w:sz w:val="24"/>
        </w:rPr>
        <w:tab/>
        <w:t>Односторонние сделки являются основанием для возникновения вексельных правоотношений. Фактом, лежащим в основании векселя, является его выдача, которая представляет собой одностороннюю сделку.</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246D01" w:rsidRDefault="00707504">
      <w:pPr>
        <w:pStyle w:val="ConsPlusNormal"/>
        <w:ind w:firstLine="540"/>
        <w:jc w:val="both"/>
        <w:rPr>
          <w:color w:val="auto"/>
        </w:rPr>
      </w:pPr>
      <w:r>
        <w:rPr>
          <w:rFonts w:ascii="Times New Roman" w:hAnsi="Times New Roman" w:cs="Times New Roman"/>
          <w:color w:val="auto"/>
          <w:sz w:val="24"/>
        </w:rPr>
        <w:tab/>
        <w:t>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 xml:space="preserve">Сделка считается совершенной под </w:t>
      </w:r>
      <w:proofErr w:type="spellStart"/>
      <w:r>
        <w:rPr>
          <w:rFonts w:ascii="Times New Roman" w:hAnsi="Times New Roman" w:cs="Times New Roman"/>
          <w:color w:val="auto"/>
          <w:sz w:val="24"/>
        </w:rPr>
        <w:t>отменительным</w:t>
      </w:r>
      <w:proofErr w:type="spellEnd"/>
      <w:r>
        <w:rPr>
          <w:rFonts w:ascii="Times New Roman" w:hAnsi="Times New Roman" w:cs="Times New Roman"/>
          <w:color w:val="auto"/>
          <w:sz w:val="24"/>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 xml:space="preserve">Если наступлению условия недобросовестно воспрепятствовала сторона, которой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w:t>
      </w:r>
      <w:proofErr w:type="spellStart"/>
      <w:r>
        <w:rPr>
          <w:rFonts w:ascii="Times New Roman" w:hAnsi="Times New Roman" w:cs="Times New Roman"/>
          <w:color w:val="auto"/>
          <w:sz w:val="24"/>
        </w:rPr>
        <w:t>ненаступившим</w:t>
      </w:r>
      <w:proofErr w:type="spellEnd"/>
      <w:r>
        <w:rPr>
          <w:rFonts w:ascii="Times New Roman" w:hAnsi="Times New Roman" w:cs="Times New Roman"/>
          <w:color w:val="auto"/>
          <w:sz w:val="24"/>
        </w:rPr>
        <w:t>.</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6D01" w:rsidRDefault="00707504">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i/>
          <w:iCs/>
          <w:color w:val="auto"/>
          <w:sz w:val="24"/>
        </w:rPr>
        <w:t>Подробной законодательной регламентации условных сделок, как и устоявшейся судебной практики в отношении условных сделок, не сложилось.</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Сделки совершаются устно или в письменной форме (простой или нотариальной).</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6D01" w:rsidRDefault="00707504">
      <w:pPr>
        <w:pStyle w:val="ConsPlusNormal"/>
        <w:ind w:firstLine="540"/>
        <w:jc w:val="both"/>
        <w:rPr>
          <w:rFonts w:ascii="Times New Roman" w:hAnsi="Times New Roman" w:cs="Times New Roman"/>
          <w:i/>
          <w:iCs/>
          <w:color w:val="auto"/>
          <w:sz w:val="24"/>
        </w:rPr>
      </w:pPr>
      <w:r>
        <w:rPr>
          <w:rFonts w:ascii="Times New Roman" w:hAnsi="Times New Roman" w:cs="Times New Roman"/>
          <w:i/>
          <w:iCs/>
          <w:color w:val="auto"/>
          <w:sz w:val="24"/>
        </w:rPr>
        <w:tab/>
        <w:t xml:space="preserve">Цель соответствующих правил состоит в том, что они позволяют сделать отношения сторон более определенными, снять основания для споров в будущем по поводу самого факта совершения сделки и ее содержания. В законодательстве также установлены нормы, придающие акту фиксации сделки публичный характер. </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color w:val="auto"/>
        </w:rPr>
      </w:pPr>
      <w:r>
        <w:rPr>
          <w:rFonts w:ascii="Times New Roman" w:hAnsi="Times New Roman" w:cs="Times New Roman"/>
          <w:color w:val="auto"/>
          <w:sz w:val="24"/>
        </w:rPr>
        <w:lastRenderedPageBreak/>
        <w:tab/>
        <w:t>Сделка, которая может быть совершена устно, считается совершенной и в том случае, когда из поведения лица явствует его воля совершить сделку.</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Молчание признается выражением воли совершить сделку в случаях, предусмотренных законом или соглашением сторон.</w:t>
      </w:r>
    </w:p>
    <w:p w:rsidR="00246D01" w:rsidRDefault="00707504">
      <w:pPr>
        <w:spacing w:after="0" w:line="240" w:lineRule="auto"/>
        <w:ind w:firstLine="540"/>
        <w:jc w:val="both"/>
        <w:rPr>
          <w:color w:val="auto"/>
        </w:rPr>
      </w:pPr>
      <w:r>
        <w:rPr>
          <w:rFonts w:ascii="Times New Roman" w:hAnsi="Times New Roman" w:cs="Times New Roman"/>
          <w:color w:val="auto"/>
          <w:sz w:val="24"/>
          <w:szCs w:val="24"/>
        </w:rPr>
        <w:tab/>
        <w:t xml:space="preserve">Сделка, для которой законом или соглашением сторон не установлена письменная (простая или </w:t>
      </w:r>
      <w:proofErr w:type="gramStart"/>
      <w:r>
        <w:rPr>
          <w:rFonts w:ascii="Times New Roman" w:hAnsi="Times New Roman" w:cs="Times New Roman"/>
          <w:color w:val="auto"/>
          <w:sz w:val="24"/>
          <w:szCs w:val="24"/>
        </w:rPr>
        <w:t xml:space="preserve">нотариальная) </w:t>
      </w:r>
      <w:proofErr w:type="gramEnd"/>
      <w:r>
        <w:rPr>
          <w:rFonts w:ascii="Times New Roman" w:hAnsi="Times New Roman" w:cs="Times New Roman"/>
          <w:color w:val="auto"/>
          <w:sz w:val="24"/>
          <w:szCs w:val="24"/>
        </w:rPr>
        <w:t>форма, может быть совершена устно.</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Pr>
          <w:rFonts w:ascii="Times New Roman" w:hAnsi="Times New Roman" w:cs="Times New Roman"/>
          <w:color w:val="auto"/>
          <w:sz w:val="24"/>
          <w:szCs w:val="24"/>
        </w:rPr>
        <w:t>формы</w:t>
      </w:r>
      <w:proofErr w:type="gramEnd"/>
      <w:r>
        <w:rPr>
          <w:rFonts w:ascii="Times New Roman" w:hAnsi="Times New Roman" w:cs="Times New Roman"/>
          <w:color w:val="auto"/>
          <w:sz w:val="24"/>
          <w:szCs w:val="24"/>
        </w:rPr>
        <w:t xml:space="preserve"> которых влечет их недействительность.</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A3777" w:rsidRPr="0091263F" w:rsidRDefault="00CA3777" w:rsidP="00CA3777">
      <w:pPr>
        <w:spacing w:after="0" w:line="240" w:lineRule="auto"/>
        <w:ind w:firstLine="708"/>
        <w:jc w:val="both"/>
        <w:rPr>
          <w:rFonts w:ascii="Verdana" w:eastAsia="Times New Roman" w:hAnsi="Verdana" w:cs="Times New Roman"/>
          <w:color w:val="auto"/>
          <w:sz w:val="21"/>
          <w:szCs w:val="21"/>
          <w:lang w:eastAsia="ru-RU"/>
        </w:rPr>
      </w:pPr>
      <w:r w:rsidRPr="0091263F">
        <w:rPr>
          <w:rFonts w:ascii="Times New Roman" w:eastAsia="Times New Roman" w:hAnsi="Times New Roman" w:cs="Times New Roman"/>
          <w:color w:val="auto"/>
          <w:sz w:val="24"/>
          <w:szCs w:val="24"/>
          <w:lang w:eastAsia="ru-RU"/>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46D01" w:rsidRDefault="00CA3777" w:rsidP="00CA3777">
      <w:pPr>
        <w:spacing w:after="0" w:line="240" w:lineRule="auto"/>
        <w:ind w:firstLine="708"/>
        <w:jc w:val="both"/>
        <w:rPr>
          <w:rFonts w:ascii="Times New Roman" w:hAnsi="Times New Roman" w:cs="Times New Roman"/>
          <w:color w:val="auto"/>
          <w:sz w:val="24"/>
          <w:szCs w:val="24"/>
        </w:rPr>
      </w:pPr>
      <w:r w:rsidRPr="0091263F">
        <w:rPr>
          <w:rFonts w:ascii="Times New Roman" w:eastAsia="Times New Roman" w:hAnsi="Times New Roman" w:cs="Times New Roman"/>
          <w:color w:val="auto"/>
          <w:sz w:val="24"/>
          <w:szCs w:val="24"/>
          <w:lang w:eastAsia="ru-RU"/>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r w:rsidR="00707504">
        <w:rPr>
          <w:rFonts w:ascii="Times New Roman" w:hAnsi="Times New Roman" w:cs="Times New Roman"/>
          <w:color w:val="auto"/>
          <w:sz w:val="24"/>
          <w:szCs w:val="24"/>
        </w:rPr>
        <w:tab/>
      </w:r>
    </w:p>
    <w:p w:rsidR="00246D01" w:rsidRDefault="00246D01">
      <w:pPr>
        <w:spacing w:after="0" w:line="240" w:lineRule="auto"/>
        <w:ind w:firstLine="540"/>
        <w:jc w:val="both"/>
        <w:rPr>
          <w:rFonts w:ascii="Times New Roman" w:hAnsi="Times New Roman" w:cs="Times New Roman"/>
          <w:color w:val="auto"/>
          <w:sz w:val="24"/>
          <w:szCs w:val="24"/>
        </w:rPr>
      </w:pPr>
    </w:p>
    <w:p w:rsidR="00246D01" w:rsidRDefault="00707504">
      <w:pPr>
        <w:spacing w:after="0" w:line="240" w:lineRule="auto"/>
        <w:ind w:firstLine="540"/>
        <w:jc w:val="both"/>
        <w:rPr>
          <w:color w:val="auto"/>
        </w:rPr>
      </w:pPr>
      <w:r>
        <w:rPr>
          <w:rFonts w:ascii="Times New Roman" w:hAnsi="Times New Roman" w:cs="Times New Roman"/>
          <w:color w:val="auto"/>
          <w:sz w:val="24"/>
          <w:szCs w:val="24"/>
        </w:rPr>
        <w:tab/>
      </w:r>
      <w:r>
        <w:rPr>
          <w:rFonts w:ascii="Times New Roman" w:hAnsi="Times New Roman" w:cs="Times New Roman"/>
          <w:b/>
          <w:bCs/>
          <w:color w:val="auto"/>
          <w:sz w:val="24"/>
          <w:szCs w:val="24"/>
        </w:rPr>
        <w:t>Дополнительно!</w:t>
      </w:r>
    </w:p>
    <w:p w:rsidR="00246D01" w:rsidRDefault="00707504">
      <w:pPr>
        <w:spacing w:after="0" w:line="240" w:lineRule="auto"/>
        <w:ind w:firstLine="540"/>
        <w:jc w:val="both"/>
        <w:rPr>
          <w:color w:val="auto"/>
        </w:rPr>
      </w:pPr>
      <w:r>
        <w:rPr>
          <w:rFonts w:ascii="Times New Roman" w:hAnsi="Times New Roman" w:cs="Times New Roman"/>
          <w:i/>
          <w:iCs/>
          <w:color w:val="auto"/>
          <w:sz w:val="24"/>
          <w:szCs w:val="24"/>
        </w:rPr>
        <w:tab/>
        <w:t xml:space="preserve">Предусмотренные в ГК РФ формы сделок не образуют замкнутого перечня, поэтому возможно применение иных способов выражения воли, которые позволяют достоверно установить содержание внутренней воли участника сделки. Широко распространены сделки, заключаемые в сети Интернет и посредством обмена </w:t>
      </w:r>
      <w:proofErr w:type="spellStart"/>
      <w:r>
        <w:rPr>
          <w:rFonts w:ascii="Times New Roman" w:hAnsi="Times New Roman" w:cs="Times New Roman"/>
          <w:i/>
          <w:iCs/>
          <w:color w:val="auto"/>
          <w:sz w:val="24"/>
          <w:szCs w:val="24"/>
        </w:rPr>
        <w:t>СМС-сообщениями</w:t>
      </w:r>
      <w:proofErr w:type="spellEnd"/>
      <w:r>
        <w:rPr>
          <w:rFonts w:ascii="Times New Roman" w:hAnsi="Times New Roman" w:cs="Times New Roman"/>
          <w:i/>
          <w:iCs/>
          <w:color w:val="auto"/>
          <w:sz w:val="24"/>
          <w:szCs w:val="24"/>
        </w:rPr>
        <w:t>. Способы изъявления воли при заключении таких сделок существенным образом отличаются от предусмотренных законом форм сделок, однако их содержание позволяет утверждать, что при возможности однозначно установить содержание воли участника сделки данная форма сделки должна быть признана как допустимая.</w:t>
      </w:r>
    </w:p>
    <w:p w:rsidR="00246D01" w:rsidRDefault="00246D01">
      <w:pPr>
        <w:spacing w:after="0" w:line="240" w:lineRule="auto"/>
        <w:ind w:firstLine="540"/>
        <w:jc w:val="both"/>
        <w:rPr>
          <w:rFonts w:ascii="Times New Roman" w:hAnsi="Times New Roman" w:cs="Times New Roman"/>
          <w:color w:val="auto"/>
          <w:sz w:val="24"/>
          <w:szCs w:val="24"/>
        </w:rPr>
      </w:pPr>
    </w:p>
    <w:p w:rsidR="00CA3777" w:rsidRPr="00220518" w:rsidRDefault="00CA3777" w:rsidP="00CA3777">
      <w:pPr>
        <w:pStyle w:val="a8"/>
        <w:ind w:firstLine="708"/>
        <w:jc w:val="both"/>
        <w:rPr>
          <w:rFonts w:ascii="Times New Roman" w:hAnsi="Times New Roman" w:cs="Times New Roman"/>
          <w:sz w:val="24"/>
          <w:szCs w:val="24"/>
          <w:lang w:eastAsia="ru-RU"/>
        </w:rPr>
      </w:pPr>
      <w:proofErr w:type="gramStart"/>
      <w:r w:rsidRPr="00220518">
        <w:rPr>
          <w:rFonts w:ascii="Times New Roman" w:hAnsi="Times New Roman" w:cs="Times New Roman"/>
          <w:sz w:val="24"/>
          <w:szCs w:val="24"/>
          <w:lang w:eastAsia="ru-RU"/>
        </w:rPr>
        <w:t>Двусторонние (многосторонние) сделки могут совершаться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а также путем совершения лицом, получившим оферту, действий по выполнению указанных в ней условий договора (отгрузка товаров, предоставление услуг, выполнение работ, уплата соответствующей суммы и т.п.).</w:t>
      </w:r>
      <w:proofErr w:type="gramEnd"/>
    </w:p>
    <w:p w:rsidR="00CA3777" w:rsidRPr="00220518" w:rsidRDefault="00CA3777" w:rsidP="00CA3777">
      <w:pPr>
        <w:pStyle w:val="a8"/>
        <w:ind w:firstLine="708"/>
        <w:jc w:val="both"/>
        <w:rPr>
          <w:rFonts w:ascii="Times New Roman" w:hAnsi="Times New Roman" w:cs="Times New Roman"/>
          <w:sz w:val="24"/>
          <w:szCs w:val="24"/>
          <w:lang w:eastAsia="ru-RU"/>
        </w:rPr>
      </w:pPr>
      <w:r w:rsidRPr="00220518">
        <w:rPr>
          <w:rFonts w:ascii="Times New Roman" w:hAnsi="Times New Roman" w:cs="Times New Roman"/>
          <w:sz w:val="24"/>
          <w:szCs w:val="24"/>
          <w:lang w:eastAsia="ru-RU"/>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w:t>
      </w:r>
    </w:p>
    <w:p w:rsidR="00246D01" w:rsidRDefault="00707504">
      <w:pPr>
        <w:spacing w:after="0" w:line="240" w:lineRule="auto"/>
        <w:ind w:firstLine="540"/>
        <w:jc w:val="both"/>
        <w:rPr>
          <w:color w:val="auto"/>
        </w:rPr>
      </w:pPr>
      <w:r>
        <w:rPr>
          <w:rFonts w:ascii="Times New Roman" w:hAnsi="Times New Roman" w:cs="Times New Roman"/>
          <w:color w:val="auto"/>
          <w:sz w:val="24"/>
          <w:szCs w:val="24"/>
        </w:rPr>
        <w:tab/>
        <w:t>Использование при совершении сделок факсимильного воспроизведения подписи с помощью средств механ</w:t>
      </w:r>
      <w:r w:rsidR="00FB100D">
        <w:rPr>
          <w:rFonts w:ascii="Times New Roman" w:hAnsi="Times New Roman" w:cs="Times New Roman"/>
          <w:color w:val="auto"/>
          <w:sz w:val="24"/>
          <w:szCs w:val="24"/>
        </w:rPr>
        <w:t xml:space="preserve">ического или иного копирования </w:t>
      </w:r>
      <w:r>
        <w:rPr>
          <w:rFonts w:ascii="Times New Roman" w:hAnsi="Times New Roman" w:cs="Times New Roman"/>
          <w:color w:val="auto"/>
          <w:sz w:val="24"/>
          <w:szCs w:val="24"/>
        </w:rPr>
        <w:t>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FB100D">
        <w:rPr>
          <w:rFonts w:ascii="Times New Roman" w:hAnsi="Times New Roman" w:cs="Times New Roman"/>
          <w:color w:val="auto"/>
          <w:sz w:val="24"/>
          <w:szCs w:val="24"/>
        </w:rPr>
        <w:tab/>
      </w:r>
      <w:r w:rsidR="00FB100D">
        <w:rPr>
          <w:rFonts w:ascii="Times New Roman" w:hAnsi="Times New Roman" w:cs="Times New Roman"/>
          <w:color w:val="auto"/>
          <w:sz w:val="24"/>
          <w:szCs w:val="24"/>
        </w:rPr>
        <w:tab/>
      </w:r>
      <w:r w:rsidR="00FB100D">
        <w:rPr>
          <w:rFonts w:ascii="Times New Roman" w:hAnsi="Times New Roman" w:cs="Times New Roman"/>
          <w:color w:val="auto"/>
          <w:sz w:val="24"/>
          <w:szCs w:val="24"/>
        </w:rPr>
        <w:tab/>
      </w:r>
      <w:r>
        <w:rPr>
          <w:rFonts w:ascii="Times New Roman" w:hAnsi="Times New Roman" w:cs="Times New Roman"/>
          <w:color w:val="auto"/>
          <w:sz w:val="24"/>
          <w:szCs w:val="24"/>
        </w:rPr>
        <w:t xml:space="preserve">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w:t>
      </w:r>
      <w:r>
        <w:rPr>
          <w:rFonts w:ascii="Times New Roman" w:hAnsi="Times New Roman" w:cs="Times New Roman"/>
          <w:color w:val="auto"/>
          <w:sz w:val="24"/>
          <w:szCs w:val="24"/>
        </w:rPr>
        <w:lastRenderedPageBreak/>
        <w:t xml:space="preserve">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Pr>
          <w:rFonts w:ascii="Times New Roman" w:hAnsi="Times New Roman" w:cs="Times New Roman"/>
          <w:color w:val="auto"/>
          <w:sz w:val="24"/>
          <w:szCs w:val="24"/>
        </w:rPr>
        <w:t>совершающий</w:t>
      </w:r>
      <w:proofErr w:type="gramEnd"/>
      <w:r>
        <w:rPr>
          <w:rFonts w:ascii="Times New Roman" w:hAnsi="Times New Roman" w:cs="Times New Roman"/>
          <w:color w:val="auto"/>
          <w:sz w:val="24"/>
          <w:szCs w:val="24"/>
        </w:rPr>
        <w:t xml:space="preserve"> сделку не мог подписать ее собственноручно.</w:t>
      </w:r>
    </w:p>
    <w:p w:rsidR="00246D01" w:rsidRDefault="00707504">
      <w:pPr>
        <w:spacing w:line="240" w:lineRule="auto"/>
        <w:ind w:firstLine="540"/>
        <w:jc w:val="both"/>
        <w:rPr>
          <w:color w:val="auto"/>
        </w:rPr>
      </w:pPr>
      <w:r>
        <w:rPr>
          <w:rFonts w:ascii="Times New Roman" w:hAnsi="Times New Roman" w:cs="Times New Roman"/>
          <w:color w:val="auto"/>
          <w:sz w:val="24"/>
          <w:szCs w:val="24"/>
        </w:rPr>
        <w:tab/>
      </w:r>
      <w:r>
        <w:rPr>
          <w:rFonts w:ascii="Times New Roman" w:eastAsia="Times New Roman" w:hAnsi="Times New Roman" w:cs="Times New Roman"/>
          <w:color w:val="auto"/>
          <w:sz w:val="24"/>
          <w:szCs w:val="24"/>
          <w:lang w:eastAsia="ru-RU"/>
        </w:rPr>
        <w:t>При совершении доверенностей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hAnsi="Times New Roman" w:cs="Times New Roman"/>
          <w:color w:val="auto"/>
          <w:sz w:val="24"/>
          <w:szCs w:val="24"/>
        </w:rPr>
        <w:t>Должны совершаться в простой письменной форме, за исключением сделок, требующих нотариального удостоверения:</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1) сделки юридических лиц между собой и с гражданами;</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2) сделки граждан между собой на сумму, превышающую десять тысяч рублей, а в случаях, предусмотренных законом, - независимо от суммы сделки.</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Соблюдение простой письменной формы не требуется для сделок, которые могут быть совершены устно (устные сделки).</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rPr>
        <w:t xml:space="preserve">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t>
      </w:r>
    </w:p>
    <w:p w:rsidR="00246D01" w:rsidRDefault="00707504">
      <w:pPr>
        <w:spacing w:line="240" w:lineRule="auto"/>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i/>
          <w:iCs/>
          <w:color w:val="auto"/>
          <w:sz w:val="24"/>
        </w:rPr>
        <w:t xml:space="preserve">В подтверждение фактов совершения сделки и ее условий стороны могут предоставлять письменные и иные доказательства (например, заключения экспертов). </w:t>
      </w:r>
      <w:proofErr w:type="gramStart"/>
      <w:r>
        <w:rPr>
          <w:rFonts w:ascii="Times New Roman" w:hAnsi="Times New Roman" w:cs="Times New Roman"/>
          <w:i/>
          <w:iCs/>
          <w:color w:val="auto"/>
          <w:sz w:val="24"/>
        </w:rPr>
        <w:t>Письменными доказательствами являются акты, документы, письма, телеграммы, телетайпы и т.д. личного и делового характера, содержащие сведения, касающиеся сделки.</w:t>
      </w:r>
      <w:proofErr w:type="gramEnd"/>
    </w:p>
    <w:p w:rsidR="00246D01" w:rsidRDefault="00707504">
      <w:pPr>
        <w:spacing w:line="240" w:lineRule="auto"/>
        <w:ind w:firstLine="540"/>
        <w:jc w:val="both"/>
        <w:rPr>
          <w:color w:val="auto"/>
        </w:rPr>
      </w:pPr>
      <w:r>
        <w:rPr>
          <w:rFonts w:ascii="Times New Roman" w:hAnsi="Times New Roman" w:cs="Times New Roman"/>
          <w:color w:val="auto"/>
          <w:sz w:val="24"/>
        </w:rPr>
        <w:tab/>
        <w:t>В случаях, прямо указанных в законе или в соглашении сторон, несоблюдение простой письменной формы сделки влечет ее недействительность.</w:t>
      </w:r>
    </w:p>
    <w:p w:rsidR="00246D01" w:rsidRDefault="00707504">
      <w:pPr>
        <w:spacing w:line="240" w:lineRule="auto"/>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proofErr w:type="gramStart"/>
      <w:r>
        <w:rPr>
          <w:rFonts w:ascii="Times New Roman" w:hAnsi="Times New Roman" w:cs="Times New Roman"/>
          <w:i/>
          <w:iCs/>
          <w:color w:val="auto"/>
          <w:sz w:val="24"/>
        </w:rPr>
        <w:t>Случаи, когда в силу прямого указания в ГК РФ несоблюдение простой письменной формы сделки влечет ее недействительность, немногочисленны: неустойка (ст. 331), залог (ст. 339), поручительство (ст. 362), продажа недвижимости (ст. 550), предприятия (ст. 560), аренда зданий и сооружений (ст. 651), кредитный договор (ст. 820), договор банковского вклада (п. 2 ст. 836), страхование (ст. 940), доверительное управление (ст. 1017), коммерческая концессия</w:t>
      </w:r>
      <w:proofErr w:type="gramEnd"/>
      <w:r>
        <w:rPr>
          <w:rFonts w:ascii="Times New Roman" w:hAnsi="Times New Roman" w:cs="Times New Roman"/>
          <w:i/>
          <w:iCs/>
          <w:color w:val="auto"/>
          <w:sz w:val="24"/>
        </w:rPr>
        <w:t xml:space="preserve"> (ст. 1028) и др.</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Нотариальное удостоверение сделок обязательно:</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1) в случаях, указанных в законе;</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2) в случаях, предусмотренных соглашением сторон, хотя бы по закону для сделок данного вида эта форма не требовалась.</w:t>
      </w:r>
      <w:r>
        <w:rPr>
          <w:rFonts w:ascii="Times New Roman" w:hAnsi="Times New Roman" w:cs="Times New Roman"/>
          <w:color w:val="auto"/>
          <w:sz w:val="24"/>
        </w:rPr>
        <w:tab/>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6D01" w:rsidRDefault="00707504">
      <w:pPr>
        <w:pStyle w:val="ConsPlusNormal"/>
        <w:ind w:firstLine="540"/>
        <w:jc w:val="both"/>
        <w:rPr>
          <w:rFonts w:ascii="Times New Roman" w:hAnsi="Times New Roman" w:cs="Times New Roman"/>
          <w:i/>
          <w:iCs/>
          <w:color w:val="auto"/>
          <w:sz w:val="24"/>
        </w:rPr>
      </w:pPr>
      <w:r>
        <w:rPr>
          <w:rFonts w:ascii="Times New Roman" w:hAnsi="Times New Roman" w:cs="Times New Roman"/>
          <w:i/>
          <w:iCs/>
          <w:color w:val="auto"/>
          <w:sz w:val="24"/>
        </w:rPr>
        <w:tab/>
        <w:t xml:space="preserve">Целью нотариального удостоверения сделок является официальное засвидетельствование факта их совершения. Оно не гарантирует действительности сделки, однако лишает почвы последующие споры по многим вопросам (подлинность подписей на документе, способность отдавать отчет в своих действиях на момент </w:t>
      </w:r>
      <w:r>
        <w:rPr>
          <w:rFonts w:ascii="Times New Roman" w:hAnsi="Times New Roman" w:cs="Times New Roman"/>
          <w:i/>
          <w:iCs/>
          <w:color w:val="auto"/>
          <w:sz w:val="24"/>
        </w:rPr>
        <w:lastRenderedPageBreak/>
        <w:t>совершения сделки, свобода выражения воли на совершение сделки, отсутствие заблуждения относительно характера сделки и т.п.).</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Если нотариальное удостоверение сделки является обязательным, несоблюдение нотариальной формы сделки влечет ее ничтожность.</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В случаях, если законом предусмотрена государственная регистрация сделок, правовые последствия сделки наступают после ее регистрации.</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Сделка, предусматривающая изменение условий зарегистрированной сделки, подлежит государственной регистрации.</w:t>
      </w:r>
    </w:p>
    <w:p w:rsidR="00246D01" w:rsidRDefault="00246D01">
      <w:pPr>
        <w:pStyle w:val="ConsPlusNormal"/>
        <w:ind w:firstLine="540"/>
        <w:jc w:val="both"/>
        <w:rPr>
          <w:rFonts w:ascii="Times New Roman" w:hAnsi="Times New Roman" w:cs="Times New Roman"/>
          <w:color w:val="auto"/>
          <w:sz w:val="24"/>
        </w:rPr>
      </w:pP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i/>
          <w:iCs/>
          <w:color w:val="auto"/>
          <w:sz w:val="24"/>
        </w:rPr>
        <w:t>Государственная регистрация не является формой сделки, но применяется к сделкам определенной формы, а именно - письменной. При этом государственная регистрация возможна как в отношении сделок, совершенных в простой письменной форме, так и в случае нотариально удостоверенных сделок.</w:t>
      </w:r>
    </w:p>
    <w:p w:rsidR="00246D01" w:rsidRDefault="00246D01">
      <w:pPr>
        <w:pStyle w:val="ConsPlusNormal"/>
        <w:ind w:firstLine="540"/>
        <w:jc w:val="both"/>
        <w:rPr>
          <w:i/>
          <w:iCs/>
        </w:rPr>
      </w:pPr>
    </w:p>
    <w:p w:rsidR="00246D01" w:rsidRDefault="00707504">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ab/>
        <w:t>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46D01" w:rsidRDefault="00707504">
      <w:pPr>
        <w:pStyle w:val="ConsPlusNormal"/>
        <w:ind w:firstLine="540"/>
        <w:jc w:val="both"/>
        <w:rPr>
          <w:rFonts w:ascii="Times New Roman" w:hAnsi="Times New Roman" w:cs="Times New Roman"/>
          <w:color w:val="auto"/>
          <w:sz w:val="24"/>
        </w:rPr>
      </w:pPr>
      <w:r>
        <w:rPr>
          <w:rFonts w:ascii="Times New Roman" w:hAnsi="Times New Roman" w:cs="Times New Roman"/>
          <w:color w:val="auto"/>
          <w:sz w:val="24"/>
        </w:rPr>
        <w:tab/>
        <w:t>В случаях, предусмотренных выше,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 Срок исковой давности по данным требованиям составляет один год.</w:t>
      </w:r>
    </w:p>
    <w:sectPr w:rsidR="00246D01" w:rsidSect="00246D01">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D01"/>
    <w:rsid w:val="00246D01"/>
    <w:rsid w:val="003A4D5F"/>
    <w:rsid w:val="00707504"/>
    <w:rsid w:val="00CA3777"/>
    <w:rsid w:val="00FB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01"/>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46D01"/>
  </w:style>
  <w:style w:type="character" w:customStyle="1" w:styleId="-">
    <w:name w:val="Интернет-ссылка"/>
    <w:basedOn w:val="a0"/>
    <w:rsid w:val="00246D01"/>
    <w:rPr>
      <w:color w:val="0000FF"/>
      <w:u w:val="single"/>
    </w:rPr>
  </w:style>
  <w:style w:type="paragraph" w:customStyle="1" w:styleId="a3">
    <w:name w:val="Заголовок"/>
    <w:basedOn w:val="a"/>
    <w:next w:val="a4"/>
    <w:qFormat/>
    <w:rsid w:val="00246D01"/>
    <w:pPr>
      <w:keepNext/>
      <w:spacing w:before="240" w:after="120"/>
    </w:pPr>
    <w:rPr>
      <w:rFonts w:ascii="Liberation Sans" w:eastAsia="Microsoft YaHei" w:hAnsi="Liberation Sans" w:cs="Mangal"/>
      <w:sz w:val="28"/>
      <w:szCs w:val="28"/>
    </w:rPr>
  </w:style>
  <w:style w:type="paragraph" w:styleId="a4">
    <w:name w:val="Body Text"/>
    <w:basedOn w:val="a"/>
    <w:rsid w:val="00246D01"/>
    <w:pPr>
      <w:spacing w:after="140" w:line="288" w:lineRule="auto"/>
    </w:pPr>
  </w:style>
  <w:style w:type="paragraph" w:styleId="a5">
    <w:name w:val="List"/>
    <w:basedOn w:val="a4"/>
    <w:rsid w:val="00246D01"/>
    <w:rPr>
      <w:rFonts w:cs="Mangal"/>
    </w:rPr>
  </w:style>
  <w:style w:type="paragraph" w:customStyle="1" w:styleId="Caption">
    <w:name w:val="Caption"/>
    <w:basedOn w:val="a"/>
    <w:qFormat/>
    <w:rsid w:val="00246D01"/>
    <w:pPr>
      <w:suppressLineNumbers/>
      <w:spacing w:before="120" w:after="120"/>
    </w:pPr>
    <w:rPr>
      <w:rFonts w:cs="Mangal"/>
      <w:i/>
      <w:iCs/>
      <w:sz w:val="24"/>
      <w:szCs w:val="24"/>
    </w:rPr>
  </w:style>
  <w:style w:type="paragraph" w:styleId="a6">
    <w:name w:val="index heading"/>
    <w:basedOn w:val="a"/>
    <w:qFormat/>
    <w:rsid w:val="00246D01"/>
    <w:pPr>
      <w:suppressLineNumbers/>
    </w:pPr>
    <w:rPr>
      <w:rFonts w:cs="Mangal"/>
    </w:rPr>
  </w:style>
  <w:style w:type="paragraph" w:styleId="a7">
    <w:name w:val="Normal (Web)"/>
    <w:basedOn w:val="a"/>
    <w:qFormat/>
    <w:rsid w:val="00246D01"/>
    <w:pPr>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46D01"/>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246D01"/>
    <w:pPr>
      <w:suppressAutoHyphens/>
    </w:pPr>
    <w:rPr>
      <w:rFonts w:ascii="Arial" w:eastAsia="Courier New" w:hAnsi="Arial" w:cs="Liberation Serif"/>
      <w:b/>
      <w:color w:val="000000"/>
      <w:sz w:val="16"/>
      <w:szCs w:val="24"/>
      <w:lang w:eastAsia="hi-IN"/>
    </w:rPr>
  </w:style>
  <w:style w:type="paragraph" w:styleId="a8">
    <w:name w:val="No Spacing"/>
    <w:uiPriority w:val="1"/>
    <w:qFormat/>
    <w:rsid w:val="00CA3777"/>
    <w:pPr>
      <w:overflowPunct w:val="0"/>
    </w:pPr>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1656</Words>
  <Characters>9443</Characters>
  <Application>Microsoft Office Word</Application>
  <DocSecurity>0</DocSecurity>
  <Lines>78</Lines>
  <Paragraphs>22</Paragraphs>
  <ScaleCrop>false</ScaleCrop>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26</cp:revision>
  <dcterms:created xsi:type="dcterms:W3CDTF">2014-03-25T18:57:00Z</dcterms:created>
  <dcterms:modified xsi:type="dcterms:W3CDTF">2019-11-21T08:17:00Z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