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1" w:rsidRDefault="006F2ECE" w:rsidP="00EC321E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 - представителей сторон, предварительное судебное заседание.</w:t>
      </w:r>
    </w:p>
    <w:p w:rsidR="00D35A61" w:rsidRDefault="00D35A61" w:rsidP="00EC321E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законодательства, обстоятельств, имеющих значение для правильного рассмотрения дела; разрешение вопроса о составе лиц, участвующих в деле, и других участников арбитражного процесса; оказание содействия лицам, участвующим в деле, в представлении необходимых доказательств; примирение сторон.</w:t>
      </w:r>
    </w:p>
    <w:p w:rsidR="00D35A61" w:rsidRDefault="00D35A61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D35A61" w:rsidRDefault="006F2ECE" w:rsidP="00EC321E">
      <w:pPr>
        <w:pStyle w:val="ConsPlusNormal"/>
        <w:ind w:firstLine="708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Подготовка дела к судебному разбирательству является самостоятельной и обязательной стадией арбитражного процесса, проводится судьей единолично по каждому делу, находящемуся в производстве арбитражного суда первой инстанции, независимо от степени его сложности, срока рассмотрения и других обстоятельств и представляет собой совокупность организационных мер и процессуальных действий судьи, направленных на обеспечение правильного и своевременного рассмотрения дела.</w:t>
      </w:r>
    </w:p>
    <w:p w:rsidR="00D35A61" w:rsidRDefault="006F2ECE" w:rsidP="00EC321E">
      <w:pPr>
        <w:pStyle w:val="ConsPlusNormal"/>
        <w:ind w:firstLine="708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Под определением обстоятельств, имеющих значение для правильного рассмотрения дела, подразумеваются действия судьи и лиц, участвующих в деле, по определению юридических фактов, лежащих в основании требований и возражений сторон, с учетом характера спорного правоотношения и норм материального права, подлежащих применению.</w:t>
      </w:r>
    </w:p>
    <w:p w:rsidR="00D35A61" w:rsidRDefault="00D35A61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рассмотрения.</w:t>
      </w:r>
    </w:p>
    <w:p w:rsidR="00D35A61" w:rsidRPr="00EC321E" w:rsidRDefault="006F2ECE" w:rsidP="00EC321E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/>
          <w:color w:val="auto"/>
          <w:sz w:val="24"/>
        </w:rPr>
        <w:tab/>
      </w:r>
      <w:r w:rsidR="007A2ECD" w:rsidRPr="007A2E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заседателей, обратиться за содействием к суду или посреднику, в том числе медиатору, судебному примирителю, в целях урегулирования спора или использовать другие примирительные процедуры, а также на действия, которые надлежит совершить лицам, участвующим в деле, и сроки совершения этих действий.</w:t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 w:rsidRPr="007A2E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 урегулирования спора судья принимает меры для примирения сторон, в том числе может предложить сторонам использовать какую-либо примирительную процедуру, отложить проведение предварительного судебного заседания, совершение других подготовительных действий.</w:t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7A2ECD" w:rsidRPr="007A2E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подготовку дела к судебному разбирательству может быть указано в определении о принятии заявления к производству.</w:t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/>
          <w:color w:val="auto"/>
          <w:sz w:val="24"/>
        </w:rPr>
        <w:t>Подготовка дела к судебному разбирательству проводится в срок, определяемый судьей с учетом обстоятельств конкретного дела и необходимости совершения соответствующих процессуальных действий, и завершается проведением предварительного судебного заседания, если в соответствии с АПК РФ не установлено иное.</w:t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При подготовке дела к судебному разбирательству судья: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1) вызывает стороны и (или) их представителей и проводит с ними собеседование в целях выяснения обстоятельств, касающихся существа заявленных требований и возражений; предлагает раскрыть доказательства, их подтверждающие, и представить при необходимости дополнительные доказательства в определенный срок; разъясняет сторонам их права и обязанности, последствия совершения или </w:t>
      </w:r>
      <w:proofErr w:type="spellStart"/>
      <w:r>
        <w:rPr>
          <w:rFonts w:ascii="Times New Roman" w:hAnsi="Times New Roman"/>
          <w:color w:val="auto"/>
          <w:sz w:val="24"/>
        </w:rPr>
        <w:t>несовершения</w:t>
      </w:r>
      <w:proofErr w:type="spellEnd"/>
      <w:r>
        <w:rPr>
          <w:rFonts w:ascii="Times New Roman" w:hAnsi="Times New Roman"/>
          <w:color w:val="auto"/>
          <w:sz w:val="24"/>
        </w:rPr>
        <w:t xml:space="preserve"> процессуальных действий в установленный срок; определяет по согласованию со </w:t>
      </w:r>
      <w:r>
        <w:rPr>
          <w:rFonts w:ascii="Times New Roman" w:hAnsi="Times New Roman"/>
          <w:color w:val="auto"/>
          <w:sz w:val="24"/>
        </w:rPr>
        <w:lastRenderedPageBreak/>
        <w:t>сторонами сроки представления необходимых доказательств и проведения предварительного судебного заседания;</w:t>
      </w: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Цель собеседования сформулирована в законе четко - выяснение обстоятельств дела. Для того чтобы хорошо подготовить дело к разбирательству, суд должен обладать полной информацией об основаниях исковых требований, возражений на них, а в итоге - о предмете доказывания по конкретному делу.</w:t>
      </w:r>
    </w:p>
    <w:p w:rsidR="00D35A61" w:rsidRDefault="00D35A61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D35A61" w:rsidRPr="00EC321E" w:rsidRDefault="006F2ECE" w:rsidP="00EC321E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/>
          <w:color w:val="auto"/>
          <w:sz w:val="24"/>
        </w:rPr>
        <w:t xml:space="preserve">2) </w:t>
      </w:r>
      <w:r w:rsidR="00AA6C92" w:rsidRPr="00AA6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медиатору, судебному примирителю, использовать другие примирительные процедуры, разъясняет условия и порядок реализации данного права, существо и преимущества примирительных процедур, а также последствия совершения таких действий, принимает меры для заключения сторонами мирового соглашения, содействует примирению сторон;</w:t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32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/>
          <w:color w:val="auto"/>
          <w:sz w:val="24"/>
        </w:rPr>
        <w:t>3) оказывает содействие сторонам в получении необходимых доказательств, истребует по ходатайству сторон, а в случаях, предусмотренных АПК РФ, по своей инициативе необходимые доказательства, разрешает вопросы о назначении экспертизы, вызове в судебное заседание экспертов, свидетелей, привлечении переводчика, специалиста, необходимости осмотра на месте письменных и вещественных доказательств, а также принимает иные меры для представления сторонами доказательств;</w:t>
      </w:r>
      <w:r>
        <w:rPr>
          <w:rFonts w:ascii="Times New Roman" w:hAnsi="Times New Roman"/>
          <w:color w:val="auto"/>
          <w:sz w:val="24"/>
        </w:rPr>
        <w:tab/>
        <w:t>4) по ходатайству сторон разрешает вопросы об обеспечении иска, о предоставлении встречного обеспечения, а также об обеспечении доказательств, направляет судебные поручения;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рассматривает вопросы о вступлении в дело других лиц, замене ненадлежащего ответчика, соединении и разъединении нескольких требований, принятии встречного иска, возможности проведения выездного судебного заседания;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совершает иные направленные на обеспечение правильного и своевременного рассмотрения дела действия.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Действия по подготовке дела к судебному разбирательству совершаются судьей в порядке, предусмотренном АПК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 выносит определение о переходе к рассмотрению дела в порядке упрощенного производства в случае,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определение.</w:t>
      </w: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D35A61" w:rsidRDefault="006F2ECE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Упрощенное производство отличается ведением дела в электронной форме. В связи с этим в определении суда о переходе к рассмотрению дела в упрощенном производстве сторонам сообщаются данные, необходимые для идентификации сторон, в целях доступа к материалам дела в электронном виде.</w:t>
      </w:r>
    </w:p>
    <w:p w:rsidR="00D35A61" w:rsidRDefault="00D35A61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31A4D" w:rsidRPr="00C31A4D" w:rsidRDefault="006F2ECE" w:rsidP="00C31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</w:rPr>
        <w:tab/>
        <w:t>Одновременно с указанным определением сторонам направляются данные, необходимые для идентификации сторон, в целях доступа к материалам дела в электронном виде.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C31A4D" w:rsidRPr="00C31A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Исковое заявление, заявление по данному делу размещаются в установленном порядке в информационно-телекоммуникационной сети "Интернет" в режиме </w:t>
      </w:r>
      <w:r w:rsidR="00C31A4D" w:rsidRPr="00C31A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ограниченного доступа не позднее следующего дня после дня вынесения указанного определения. </w:t>
      </w:r>
    </w:p>
    <w:p w:rsidR="00065E10" w:rsidRPr="00065E10" w:rsidRDefault="006F2ECE" w:rsidP="00065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</w:rPr>
        <w:tab/>
        <w:t>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проведения. Указанные лица вправе участвовать в предварительном судебном заседании путем использован</w:t>
      </w:r>
      <w:r w:rsidR="00065E10">
        <w:rPr>
          <w:rFonts w:ascii="Times New Roman" w:hAnsi="Times New Roman"/>
          <w:color w:val="auto"/>
          <w:sz w:val="24"/>
        </w:rPr>
        <w:t xml:space="preserve">ия систем </w:t>
      </w:r>
      <w:proofErr w:type="spellStart"/>
      <w:proofErr w:type="gramStart"/>
      <w:r w:rsidR="00065E10">
        <w:rPr>
          <w:rFonts w:ascii="Times New Roman" w:hAnsi="Times New Roman"/>
          <w:color w:val="auto"/>
          <w:sz w:val="24"/>
        </w:rPr>
        <w:t>видеоконференц</w:t>
      </w:r>
      <w:proofErr w:type="spellEnd"/>
      <w:r w:rsidR="00065E10">
        <w:rPr>
          <w:rFonts w:ascii="Times New Roman" w:hAnsi="Times New Roman"/>
          <w:color w:val="auto"/>
          <w:sz w:val="24"/>
        </w:rPr>
        <w:t>-связи</w:t>
      </w:r>
      <w:proofErr w:type="gramEnd"/>
      <w:r w:rsidR="00065E10">
        <w:rPr>
          <w:rFonts w:ascii="Times New Roman" w:hAnsi="Times New Roman"/>
          <w:color w:val="auto"/>
          <w:sz w:val="24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либо системы веб-конференции</w:t>
      </w:r>
      <w:r w:rsidR="00065E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03854" w:rsidRDefault="00065E10" w:rsidP="00EC321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bookmarkStart w:id="0" w:name="_GoBack"/>
      <w:bookmarkEnd w:id="0"/>
      <w:r w:rsidR="006F2ECE">
        <w:rPr>
          <w:rFonts w:ascii="Times New Roman" w:hAnsi="Times New Roman"/>
          <w:color w:val="auto"/>
          <w:sz w:val="24"/>
        </w:rPr>
        <w:t>При неявке в предварительное судебное заседание надлежащим образом извещенных истца и (или) ответчика, других заинтересованных лиц, которые могут быть привлечены к участию в деле, заседание проводится в их отсутствие.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 xml:space="preserve">Арбитражный суд в предварительном судебном </w:t>
      </w:r>
      <w:proofErr w:type="gramStart"/>
      <w:r w:rsidR="006F2ECE">
        <w:rPr>
          <w:rFonts w:ascii="Times New Roman" w:hAnsi="Times New Roman"/>
          <w:color w:val="auto"/>
          <w:sz w:val="24"/>
        </w:rPr>
        <w:t>заседании:</w:t>
      </w:r>
      <w:r w:rsidR="006F2ECE">
        <w:rPr>
          <w:rFonts w:ascii="Times New Roman" w:hAnsi="Times New Roman"/>
          <w:color w:val="auto"/>
          <w:sz w:val="24"/>
        </w:rPr>
        <w:tab/>
      </w:r>
      <w:proofErr w:type="gramEnd"/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1) разрешает ходатайства сторон;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2) определяет достаточность представленных доказательств, доводит до сведения сторон, какие доказательства имеются в деле;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</w:p>
    <w:p w:rsidR="00D35A61" w:rsidRPr="00EC321E" w:rsidRDefault="00803854" w:rsidP="00EC321E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3) </w:t>
      </w:r>
      <w:r w:rsidRPr="00803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выясняет мнение сторон о возможности урегулировать спор, предлагает сторонам использовать примирительные процедуры; при выявлении намерения сторон обратиться к судебному примирителю суд утверждает его кандидатуру, выбранную сторонами, в порядке, установленном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АПК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803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4</w:t>
      </w:r>
      <w:r w:rsidR="006F2ECE">
        <w:rPr>
          <w:rFonts w:ascii="Times New Roman" w:hAnsi="Times New Roman"/>
          <w:color w:val="auto"/>
          <w:sz w:val="24"/>
        </w:rPr>
        <w:t>) выносит на рассмотрение вопросы, разрешаемые при подготовке дела к судебному разбирательству, и совершает предусмотренные АПК РФ иные процессуальные действия.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В предварительном судебном заседании стороны вправе представлять доказательства, заявлять ходатайства, излагать свои доводы по всем возникающим в заседании вопросам.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Суд по ходатайству лиц, участвующих в деле, вправе объявить перерыв в предварительном судебном заседании на срок не более пяти дней для представления ими дополнительных доказательств.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разбирательству.</w:t>
      </w:r>
      <w:r w:rsidR="00EC321E">
        <w:rPr>
          <w:rFonts w:ascii="Times New Roman" w:hAnsi="Times New Roman"/>
          <w:color w:val="auto"/>
          <w:sz w:val="24"/>
        </w:rPr>
        <w:tab/>
      </w:r>
      <w:r w:rsidR="00EC321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>Судья, признав дело подготовленным, выносит определение о назначении дела к судебному разбирательству.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лиц, принятие встречного иска, соединение или разъединение нескольких требований, привлечение арбитражных заседателей, а также на разрешение других вопросов, если по ним не были вынесены соответствующие определения, время и место проведения судебного заседания в арбитражном суде первой инстанции.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Копии определения о назначении дела к судебному разбирательству направляются лицам, участвующим в деле.</w:t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</w:r>
      <w:r w:rsidR="006F2ECE">
        <w:rPr>
          <w:rFonts w:ascii="Times New Roman" w:hAnsi="Times New Roman"/>
          <w:color w:val="auto"/>
          <w:sz w:val="24"/>
        </w:rPr>
        <w:tab/>
        <w:t>Если в предварительном судебном заседании присутствуют лица, участвующие в деле, либо лица, участвующие в деле, отсутствуют в предварительном судебном заседании,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отсутствие, суд вправе завершить предварительное судебное заседание и открыть судебное заседание в первой инстанции, за исключением случая, если в соответствии с АПК РФ требуется коллегиальное рассмотрение данного дела.</w:t>
      </w:r>
    </w:p>
    <w:p w:rsidR="00D35A61" w:rsidRDefault="00D35A61" w:rsidP="00EC321E">
      <w:pPr>
        <w:pStyle w:val="ConsPlusNormal"/>
        <w:jc w:val="both"/>
        <w:outlineLvl w:val="1"/>
        <w:rPr>
          <w:rFonts w:ascii="Times New Roman" w:hAnsi="Times New Roman"/>
          <w:color w:val="auto"/>
          <w:sz w:val="24"/>
        </w:rPr>
      </w:pPr>
    </w:p>
    <w:sectPr w:rsidR="00D35A61" w:rsidSect="00D35A61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A61"/>
    <w:rsid w:val="00065E10"/>
    <w:rsid w:val="00694854"/>
    <w:rsid w:val="006F2ECE"/>
    <w:rsid w:val="007A2ECD"/>
    <w:rsid w:val="00803854"/>
    <w:rsid w:val="00AA6C92"/>
    <w:rsid w:val="00C31A4D"/>
    <w:rsid w:val="00D35A61"/>
    <w:rsid w:val="00EC321E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0BF2-2934-4587-80E3-FD22BD1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D35A6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35A61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D35A61"/>
    <w:rPr>
      <w:rFonts w:cs="OpenSymbol"/>
    </w:rPr>
  </w:style>
  <w:style w:type="character" w:customStyle="1" w:styleId="ListLabel3">
    <w:name w:val="ListLabel 3"/>
    <w:qFormat/>
    <w:rsid w:val="00D35A61"/>
    <w:rPr>
      <w:rFonts w:cs="OpenSymbol"/>
    </w:rPr>
  </w:style>
  <w:style w:type="character" w:customStyle="1" w:styleId="ListLabel4">
    <w:name w:val="ListLabel 4"/>
    <w:qFormat/>
    <w:rsid w:val="00D35A61"/>
    <w:rPr>
      <w:rFonts w:cs="OpenSymbol"/>
    </w:rPr>
  </w:style>
  <w:style w:type="character" w:customStyle="1" w:styleId="ListLabel5">
    <w:name w:val="ListLabel 5"/>
    <w:qFormat/>
    <w:rsid w:val="00D35A61"/>
    <w:rPr>
      <w:rFonts w:cs="OpenSymbol"/>
    </w:rPr>
  </w:style>
  <w:style w:type="character" w:customStyle="1" w:styleId="ListLabel6">
    <w:name w:val="ListLabel 6"/>
    <w:qFormat/>
    <w:rsid w:val="00D35A61"/>
    <w:rPr>
      <w:rFonts w:cs="OpenSymbol"/>
    </w:rPr>
  </w:style>
  <w:style w:type="character" w:customStyle="1" w:styleId="ListLabel7">
    <w:name w:val="ListLabel 7"/>
    <w:qFormat/>
    <w:rsid w:val="00D35A61"/>
    <w:rPr>
      <w:rFonts w:cs="OpenSymbol"/>
    </w:rPr>
  </w:style>
  <w:style w:type="character" w:customStyle="1" w:styleId="ListLabel8">
    <w:name w:val="ListLabel 8"/>
    <w:qFormat/>
    <w:rsid w:val="00D35A61"/>
    <w:rPr>
      <w:rFonts w:cs="OpenSymbol"/>
    </w:rPr>
  </w:style>
  <w:style w:type="character" w:customStyle="1" w:styleId="ListLabel9">
    <w:name w:val="ListLabel 9"/>
    <w:qFormat/>
    <w:rsid w:val="00D35A61"/>
    <w:rPr>
      <w:rFonts w:cs="OpenSymbol"/>
    </w:rPr>
  </w:style>
  <w:style w:type="character" w:styleId="a4">
    <w:name w:val="Strong"/>
    <w:basedOn w:val="a0"/>
    <w:qFormat/>
    <w:rsid w:val="00D35A61"/>
    <w:rPr>
      <w:b/>
      <w:bCs/>
    </w:rPr>
  </w:style>
  <w:style w:type="character" w:customStyle="1" w:styleId="ListLabel10">
    <w:name w:val="ListLabel 10"/>
    <w:qFormat/>
    <w:rsid w:val="00D35A61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D35A61"/>
    <w:rPr>
      <w:rFonts w:cs="OpenSymbol"/>
    </w:rPr>
  </w:style>
  <w:style w:type="character" w:customStyle="1" w:styleId="ListLabel12">
    <w:name w:val="ListLabel 12"/>
    <w:qFormat/>
    <w:rsid w:val="00D35A61"/>
    <w:rPr>
      <w:rFonts w:cs="OpenSymbol"/>
    </w:rPr>
  </w:style>
  <w:style w:type="character" w:customStyle="1" w:styleId="ListLabel13">
    <w:name w:val="ListLabel 13"/>
    <w:qFormat/>
    <w:rsid w:val="00D35A61"/>
    <w:rPr>
      <w:rFonts w:cs="OpenSymbol"/>
    </w:rPr>
  </w:style>
  <w:style w:type="character" w:customStyle="1" w:styleId="ListLabel14">
    <w:name w:val="ListLabel 14"/>
    <w:qFormat/>
    <w:rsid w:val="00D35A61"/>
    <w:rPr>
      <w:rFonts w:cs="OpenSymbol"/>
    </w:rPr>
  </w:style>
  <w:style w:type="character" w:customStyle="1" w:styleId="ListLabel15">
    <w:name w:val="ListLabel 15"/>
    <w:qFormat/>
    <w:rsid w:val="00D35A61"/>
    <w:rPr>
      <w:rFonts w:cs="OpenSymbol"/>
    </w:rPr>
  </w:style>
  <w:style w:type="character" w:customStyle="1" w:styleId="ListLabel16">
    <w:name w:val="ListLabel 16"/>
    <w:qFormat/>
    <w:rsid w:val="00D35A61"/>
    <w:rPr>
      <w:rFonts w:cs="OpenSymbol"/>
    </w:rPr>
  </w:style>
  <w:style w:type="character" w:customStyle="1" w:styleId="ListLabel17">
    <w:name w:val="ListLabel 17"/>
    <w:qFormat/>
    <w:rsid w:val="00D35A61"/>
    <w:rPr>
      <w:rFonts w:cs="OpenSymbol"/>
    </w:rPr>
  </w:style>
  <w:style w:type="character" w:customStyle="1" w:styleId="ListLabel18">
    <w:name w:val="ListLabel 18"/>
    <w:qFormat/>
    <w:rsid w:val="00D35A61"/>
    <w:rPr>
      <w:rFonts w:cs="OpenSymbol"/>
    </w:rPr>
  </w:style>
  <w:style w:type="character" w:customStyle="1" w:styleId="ListLabel19">
    <w:name w:val="ListLabel 19"/>
    <w:qFormat/>
    <w:rsid w:val="00D35A61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D35A61"/>
    <w:rPr>
      <w:rFonts w:cs="OpenSymbol"/>
    </w:rPr>
  </w:style>
  <w:style w:type="character" w:customStyle="1" w:styleId="ListLabel21">
    <w:name w:val="ListLabel 21"/>
    <w:qFormat/>
    <w:rsid w:val="00D35A61"/>
    <w:rPr>
      <w:rFonts w:cs="OpenSymbol"/>
    </w:rPr>
  </w:style>
  <w:style w:type="character" w:customStyle="1" w:styleId="ListLabel22">
    <w:name w:val="ListLabel 22"/>
    <w:qFormat/>
    <w:rsid w:val="00D35A61"/>
    <w:rPr>
      <w:rFonts w:cs="OpenSymbol"/>
    </w:rPr>
  </w:style>
  <w:style w:type="character" w:customStyle="1" w:styleId="ListLabel23">
    <w:name w:val="ListLabel 23"/>
    <w:qFormat/>
    <w:rsid w:val="00D35A61"/>
    <w:rPr>
      <w:rFonts w:cs="OpenSymbol"/>
    </w:rPr>
  </w:style>
  <w:style w:type="character" w:customStyle="1" w:styleId="ListLabel24">
    <w:name w:val="ListLabel 24"/>
    <w:qFormat/>
    <w:rsid w:val="00D35A61"/>
    <w:rPr>
      <w:rFonts w:cs="OpenSymbol"/>
    </w:rPr>
  </w:style>
  <w:style w:type="character" w:customStyle="1" w:styleId="ListLabel25">
    <w:name w:val="ListLabel 25"/>
    <w:qFormat/>
    <w:rsid w:val="00D35A61"/>
    <w:rPr>
      <w:rFonts w:cs="OpenSymbol"/>
    </w:rPr>
  </w:style>
  <w:style w:type="character" w:customStyle="1" w:styleId="ListLabel26">
    <w:name w:val="ListLabel 26"/>
    <w:qFormat/>
    <w:rsid w:val="00D35A61"/>
    <w:rPr>
      <w:rFonts w:cs="OpenSymbol"/>
    </w:rPr>
  </w:style>
  <w:style w:type="character" w:customStyle="1" w:styleId="ListLabel27">
    <w:name w:val="ListLabel 27"/>
    <w:qFormat/>
    <w:rsid w:val="00D35A61"/>
    <w:rPr>
      <w:rFonts w:cs="OpenSymbol"/>
    </w:rPr>
  </w:style>
  <w:style w:type="character" w:customStyle="1" w:styleId="ListLabel28">
    <w:name w:val="ListLabel 28"/>
    <w:qFormat/>
    <w:rsid w:val="00D35A61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D35A61"/>
    <w:rPr>
      <w:rFonts w:cs="OpenSymbol"/>
    </w:rPr>
  </w:style>
  <w:style w:type="character" w:customStyle="1" w:styleId="ListLabel30">
    <w:name w:val="ListLabel 30"/>
    <w:qFormat/>
    <w:rsid w:val="00D35A61"/>
    <w:rPr>
      <w:rFonts w:cs="OpenSymbol"/>
    </w:rPr>
  </w:style>
  <w:style w:type="character" w:customStyle="1" w:styleId="ListLabel31">
    <w:name w:val="ListLabel 31"/>
    <w:qFormat/>
    <w:rsid w:val="00D35A61"/>
    <w:rPr>
      <w:rFonts w:cs="OpenSymbol"/>
    </w:rPr>
  </w:style>
  <w:style w:type="character" w:customStyle="1" w:styleId="ListLabel32">
    <w:name w:val="ListLabel 32"/>
    <w:qFormat/>
    <w:rsid w:val="00D35A61"/>
    <w:rPr>
      <w:rFonts w:cs="OpenSymbol"/>
    </w:rPr>
  </w:style>
  <w:style w:type="character" w:customStyle="1" w:styleId="ListLabel33">
    <w:name w:val="ListLabel 33"/>
    <w:qFormat/>
    <w:rsid w:val="00D35A61"/>
    <w:rPr>
      <w:rFonts w:cs="OpenSymbol"/>
    </w:rPr>
  </w:style>
  <w:style w:type="character" w:customStyle="1" w:styleId="ListLabel34">
    <w:name w:val="ListLabel 34"/>
    <w:qFormat/>
    <w:rsid w:val="00D35A61"/>
    <w:rPr>
      <w:rFonts w:cs="OpenSymbol"/>
    </w:rPr>
  </w:style>
  <w:style w:type="character" w:customStyle="1" w:styleId="ListLabel35">
    <w:name w:val="ListLabel 35"/>
    <w:qFormat/>
    <w:rsid w:val="00D35A61"/>
    <w:rPr>
      <w:rFonts w:cs="OpenSymbol"/>
    </w:rPr>
  </w:style>
  <w:style w:type="character" w:customStyle="1" w:styleId="ListLabel36">
    <w:name w:val="ListLabel 36"/>
    <w:qFormat/>
    <w:rsid w:val="00D35A61"/>
    <w:rPr>
      <w:rFonts w:cs="OpenSymbol"/>
    </w:rPr>
  </w:style>
  <w:style w:type="character" w:customStyle="1" w:styleId="ListLabel37">
    <w:name w:val="ListLabel 37"/>
    <w:qFormat/>
    <w:rsid w:val="00D35A61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D35A61"/>
    <w:rPr>
      <w:rFonts w:cs="OpenSymbol"/>
    </w:rPr>
  </w:style>
  <w:style w:type="character" w:customStyle="1" w:styleId="ListLabel39">
    <w:name w:val="ListLabel 39"/>
    <w:qFormat/>
    <w:rsid w:val="00D35A61"/>
    <w:rPr>
      <w:rFonts w:cs="OpenSymbol"/>
    </w:rPr>
  </w:style>
  <w:style w:type="character" w:customStyle="1" w:styleId="ListLabel40">
    <w:name w:val="ListLabel 40"/>
    <w:qFormat/>
    <w:rsid w:val="00D35A61"/>
    <w:rPr>
      <w:rFonts w:cs="OpenSymbol"/>
    </w:rPr>
  </w:style>
  <w:style w:type="character" w:customStyle="1" w:styleId="ListLabel41">
    <w:name w:val="ListLabel 41"/>
    <w:qFormat/>
    <w:rsid w:val="00D35A61"/>
    <w:rPr>
      <w:rFonts w:cs="OpenSymbol"/>
    </w:rPr>
  </w:style>
  <w:style w:type="character" w:customStyle="1" w:styleId="ListLabel42">
    <w:name w:val="ListLabel 42"/>
    <w:qFormat/>
    <w:rsid w:val="00D35A61"/>
    <w:rPr>
      <w:rFonts w:cs="OpenSymbol"/>
    </w:rPr>
  </w:style>
  <w:style w:type="character" w:customStyle="1" w:styleId="ListLabel43">
    <w:name w:val="ListLabel 43"/>
    <w:qFormat/>
    <w:rsid w:val="00D35A61"/>
    <w:rPr>
      <w:rFonts w:cs="OpenSymbol"/>
    </w:rPr>
  </w:style>
  <w:style w:type="character" w:customStyle="1" w:styleId="ListLabel44">
    <w:name w:val="ListLabel 44"/>
    <w:qFormat/>
    <w:rsid w:val="00D35A61"/>
    <w:rPr>
      <w:rFonts w:cs="OpenSymbol"/>
    </w:rPr>
  </w:style>
  <w:style w:type="character" w:customStyle="1" w:styleId="ListLabel45">
    <w:name w:val="ListLabel 45"/>
    <w:qFormat/>
    <w:rsid w:val="00D35A61"/>
    <w:rPr>
      <w:rFonts w:cs="OpenSymbol"/>
    </w:rPr>
  </w:style>
  <w:style w:type="character" w:customStyle="1" w:styleId="ListLabel46">
    <w:name w:val="ListLabel 46"/>
    <w:qFormat/>
    <w:rsid w:val="00D35A61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D35A61"/>
    <w:rPr>
      <w:rFonts w:cs="OpenSymbol"/>
    </w:rPr>
  </w:style>
  <w:style w:type="character" w:customStyle="1" w:styleId="ListLabel48">
    <w:name w:val="ListLabel 48"/>
    <w:qFormat/>
    <w:rsid w:val="00D35A61"/>
    <w:rPr>
      <w:rFonts w:cs="OpenSymbol"/>
    </w:rPr>
  </w:style>
  <w:style w:type="character" w:customStyle="1" w:styleId="ListLabel49">
    <w:name w:val="ListLabel 49"/>
    <w:qFormat/>
    <w:rsid w:val="00D35A61"/>
    <w:rPr>
      <w:rFonts w:cs="OpenSymbol"/>
    </w:rPr>
  </w:style>
  <w:style w:type="character" w:customStyle="1" w:styleId="ListLabel50">
    <w:name w:val="ListLabel 50"/>
    <w:qFormat/>
    <w:rsid w:val="00D35A61"/>
    <w:rPr>
      <w:rFonts w:cs="OpenSymbol"/>
    </w:rPr>
  </w:style>
  <w:style w:type="character" w:customStyle="1" w:styleId="ListLabel51">
    <w:name w:val="ListLabel 51"/>
    <w:qFormat/>
    <w:rsid w:val="00D35A61"/>
    <w:rPr>
      <w:rFonts w:cs="OpenSymbol"/>
    </w:rPr>
  </w:style>
  <w:style w:type="character" w:customStyle="1" w:styleId="ListLabel52">
    <w:name w:val="ListLabel 52"/>
    <w:qFormat/>
    <w:rsid w:val="00D35A61"/>
    <w:rPr>
      <w:rFonts w:cs="OpenSymbol"/>
    </w:rPr>
  </w:style>
  <w:style w:type="character" w:customStyle="1" w:styleId="ListLabel53">
    <w:name w:val="ListLabel 53"/>
    <w:qFormat/>
    <w:rsid w:val="00D35A61"/>
    <w:rPr>
      <w:rFonts w:cs="OpenSymbol"/>
    </w:rPr>
  </w:style>
  <w:style w:type="character" w:customStyle="1" w:styleId="ListLabel54">
    <w:name w:val="ListLabel 54"/>
    <w:qFormat/>
    <w:rsid w:val="00D35A61"/>
    <w:rPr>
      <w:rFonts w:cs="OpenSymbol"/>
    </w:rPr>
  </w:style>
  <w:style w:type="character" w:customStyle="1" w:styleId="ListLabel55">
    <w:name w:val="ListLabel 55"/>
    <w:qFormat/>
    <w:rsid w:val="00D35A61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D35A61"/>
    <w:rPr>
      <w:rFonts w:cs="OpenSymbol"/>
    </w:rPr>
  </w:style>
  <w:style w:type="character" w:customStyle="1" w:styleId="ListLabel57">
    <w:name w:val="ListLabel 57"/>
    <w:qFormat/>
    <w:rsid w:val="00D35A61"/>
    <w:rPr>
      <w:rFonts w:cs="OpenSymbol"/>
    </w:rPr>
  </w:style>
  <w:style w:type="character" w:customStyle="1" w:styleId="ListLabel58">
    <w:name w:val="ListLabel 58"/>
    <w:qFormat/>
    <w:rsid w:val="00D35A61"/>
    <w:rPr>
      <w:rFonts w:cs="OpenSymbol"/>
    </w:rPr>
  </w:style>
  <w:style w:type="character" w:customStyle="1" w:styleId="ListLabel59">
    <w:name w:val="ListLabel 59"/>
    <w:qFormat/>
    <w:rsid w:val="00D35A61"/>
    <w:rPr>
      <w:rFonts w:cs="OpenSymbol"/>
    </w:rPr>
  </w:style>
  <w:style w:type="character" w:customStyle="1" w:styleId="ListLabel60">
    <w:name w:val="ListLabel 60"/>
    <w:qFormat/>
    <w:rsid w:val="00D35A61"/>
    <w:rPr>
      <w:rFonts w:cs="OpenSymbol"/>
    </w:rPr>
  </w:style>
  <w:style w:type="character" w:customStyle="1" w:styleId="ListLabel61">
    <w:name w:val="ListLabel 61"/>
    <w:qFormat/>
    <w:rsid w:val="00D35A61"/>
    <w:rPr>
      <w:rFonts w:cs="OpenSymbol"/>
    </w:rPr>
  </w:style>
  <w:style w:type="character" w:customStyle="1" w:styleId="ListLabel62">
    <w:name w:val="ListLabel 62"/>
    <w:qFormat/>
    <w:rsid w:val="00D35A61"/>
    <w:rPr>
      <w:rFonts w:cs="OpenSymbol"/>
    </w:rPr>
  </w:style>
  <w:style w:type="character" w:customStyle="1" w:styleId="ListLabel63">
    <w:name w:val="ListLabel 63"/>
    <w:qFormat/>
    <w:rsid w:val="00D35A61"/>
    <w:rPr>
      <w:rFonts w:cs="OpenSymbol"/>
    </w:rPr>
  </w:style>
  <w:style w:type="character" w:customStyle="1" w:styleId="ListLabel64">
    <w:name w:val="ListLabel 64"/>
    <w:qFormat/>
    <w:rsid w:val="00D35A61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D35A61"/>
    <w:rPr>
      <w:rFonts w:cs="OpenSymbol"/>
    </w:rPr>
  </w:style>
  <w:style w:type="character" w:customStyle="1" w:styleId="ListLabel66">
    <w:name w:val="ListLabel 66"/>
    <w:qFormat/>
    <w:rsid w:val="00D35A61"/>
    <w:rPr>
      <w:rFonts w:cs="OpenSymbol"/>
    </w:rPr>
  </w:style>
  <w:style w:type="character" w:customStyle="1" w:styleId="ListLabel67">
    <w:name w:val="ListLabel 67"/>
    <w:qFormat/>
    <w:rsid w:val="00D35A61"/>
    <w:rPr>
      <w:rFonts w:cs="OpenSymbol"/>
    </w:rPr>
  </w:style>
  <w:style w:type="character" w:customStyle="1" w:styleId="ListLabel68">
    <w:name w:val="ListLabel 68"/>
    <w:qFormat/>
    <w:rsid w:val="00D35A61"/>
    <w:rPr>
      <w:rFonts w:cs="OpenSymbol"/>
    </w:rPr>
  </w:style>
  <w:style w:type="character" w:customStyle="1" w:styleId="ListLabel69">
    <w:name w:val="ListLabel 69"/>
    <w:qFormat/>
    <w:rsid w:val="00D35A61"/>
    <w:rPr>
      <w:rFonts w:cs="OpenSymbol"/>
    </w:rPr>
  </w:style>
  <w:style w:type="character" w:customStyle="1" w:styleId="ListLabel70">
    <w:name w:val="ListLabel 70"/>
    <w:qFormat/>
    <w:rsid w:val="00D35A61"/>
    <w:rPr>
      <w:rFonts w:cs="OpenSymbol"/>
    </w:rPr>
  </w:style>
  <w:style w:type="character" w:customStyle="1" w:styleId="ListLabel71">
    <w:name w:val="ListLabel 71"/>
    <w:qFormat/>
    <w:rsid w:val="00D35A61"/>
    <w:rPr>
      <w:rFonts w:cs="OpenSymbol"/>
    </w:rPr>
  </w:style>
  <w:style w:type="character" w:customStyle="1" w:styleId="ListLabel72">
    <w:name w:val="ListLabel 72"/>
    <w:qFormat/>
    <w:rsid w:val="00D35A61"/>
    <w:rPr>
      <w:rFonts w:cs="OpenSymbol"/>
    </w:rPr>
  </w:style>
  <w:style w:type="character" w:customStyle="1" w:styleId="ListLabel73">
    <w:name w:val="ListLabel 73"/>
    <w:qFormat/>
    <w:rsid w:val="00D35A61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D35A61"/>
    <w:rPr>
      <w:rFonts w:cs="OpenSymbol"/>
    </w:rPr>
  </w:style>
  <w:style w:type="character" w:customStyle="1" w:styleId="ListLabel75">
    <w:name w:val="ListLabel 75"/>
    <w:qFormat/>
    <w:rsid w:val="00D35A61"/>
    <w:rPr>
      <w:rFonts w:cs="OpenSymbol"/>
    </w:rPr>
  </w:style>
  <w:style w:type="character" w:customStyle="1" w:styleId="ListLabel76">
    <w:name w:val="ListLabel 76"/>
    <w:qFormat/>
    <w:rsid w:val="00D35A61"/>
    <w:rPr>
      <w:rFonts w:cs="OpenSymbol"/>
    </w:rPr>
  </w:style>
  <w:style w:type="character" w:customStyle="1" w:styleId="ListLabel77">
    <w:name w:val="ListLabel 77"/>
    <w:qFormat/>
    <w:rsid w:val="00D35A61"/>
    <w:rPr>
      <w:rFonts w:cs="OpenSymbol"/>
    </w:rPr>
  </w:style>
  <w:style w:type="character" w:customStyle="1" w:styleId="ListLabel78">
    <w:name w:val="ListLabel 78"/>
    <w:qFormat/>
    <w:rsid w:val="00D35A61"/>
    <w:rPr>
      <w:rFonts w:cs="OpenSymbol"/>
    </w:rPr>
  </w:style>
  <w:style w:type="character" w:customStyle="1" w:styleId="ListLabel79">
    <w:name w:val="ListLabel 79"/>
    <w:qFormat/>
    <w:rsid w:val="00D35A61"/>
    <w:rPr>
      <w:rFonts w:cs="OpenSymbol"/>
    </w:rPr>
  </w:style>
  <w:style w:type="character" w:customStyle="1" w:styleId="ListLabel80">
    <w:name w:val="ListLabel 80"/>
    <w:qFormat/>
    <w:rsid w:val="00D35A61"/>
    <w:rPr>
      <w:rFonts w:cs="OpenSymbol"/>
    </w:rPr>
  </w:style>
  <w:style w:type="character" w:customStyle="1" w:styleId="ListLabel81">
    <w:name w:val="ListLabel 81"/>
    <w:qFormat/>
    <w:rsid w:val="00D35A61"/>
    <w:rPr>
      <w:rFonts w:cs="OpenSymbol"/>
    </w:rPr>
  </w:style>
  <w:style w:type="character" w:customStyle="1" w:styleId="ListLabel82">
    <w:name w:val="ListLabel 82"/>
    <w:qFormat/>
    <w:rsid w:val="00D35A61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D35A61"/>
    <w:rPr>
      <w:rFonts w:cs="OpenSymbol"/>
    </w:rPr>
  </w:style>
  <w:style w:type="character" w:customStyle="1" w:styleId="ListLabel84">
    <w:name w:val="ListLabel 84"/>
    <w:qFormat/>
    <w:rsid w:val="00D35A61"/>
    <w:rPr>
      <w:rFonts w:cs="OpenSymbol"/>
    </w:rPr>
  </w:style>
  <w:style w:type="character" w:customStyle="1" w:styleId="ListLabel85">
    <w:name w:val="ListLabel 85"/>
    <w:qFormat/>
    <w:rsid w:val="00D35A61"/>
    <w:rPr>
      <w:rFonts w:cs="OpenSymbol"/>
    </w:rPr>
  </w:style>
  <w:style w:type="character" w:customStyle="1" w:styleId="ListLabel86">
    <w:name w:val="ListLabel 86"/>
    <w:qFormat/>
    <w:rsid w:val="00D35A61"/>
    <w:rPr>
      <w:rFonts w:cs="OpenSymbol"/>
    </w:rPr>
  </w:style>
  <w:style w:type="character" w:customStyle="1" w:styleId="ListLabel87">
    <w:name w:val="ListLabel 87"/>
    <w:qFormat/>
    <w:rsid w:val="00D35A61"/>
    <w:rPr>
      <w:rFonts w:cs="OpenSymbol"/>
    </w:rPr>
  </w:style>
  <w:style w:type="character" w:customStyle="1" w:styleId="ListLabel88">
    <w:name w:val="ListLabel 88"/>
    <w:qFormat/>
    <w:rsid w:val="00D35A61"/>
    <w:rPr>
      <w:rFonts w:cs="OpenSymbol"/>
    </w:rPr>
  </w:style>
  <w:style w:type="character" w:customStyle="1" w:styleId="ListLabel89">
    <w:name w:val="ListLabel 89"/>
    <w:qFormat/>
    <w:rsid w:val="00D35A61"/>
    <w:rPr>
      <w:rFonts w:cs="OpenSymbol"/>
    </w:rPr>
  </w:style>
  <w:style w:type="character" w:customStyle="1" w:styleId="ListLabel90">
    <w:name w:val="ListLabel 90"/>
    <w:qFormat/>
    <w:rsid w:val="00D35A61"/>
    <w:rPr>
      <w:rFonts w:cs="OpenSymbol"/>
    </w:rPr>
  </w:style>
  <w:style w:type="character" w:customStyle="1" w:styleId="ListLabel91">
    <w:name w:val="ListLabel 91"/>
    <w:qFormat/>
    <w:rsid w:val="00D35A61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D35A61"/>
    <w:rPr>
      <w:rFonts w:cs="OpenSymbol"/>
    </w:rPr>
  </w:style>
  <w:style w:type="character" w:customStyle="1" w:styleId="ListLabel93">
    <w:name w:val="ListLabel 93"/>
    <w:qFormat/>
    <w:rsid w:val="00D35A61"/>
    <w:rPr>
      <w:rFonts w:cs="OpenSymbol"/>
    </w:rPr>
  </w:style>
  <w:style w:type="character" w:customStyle="1" w:styleId="ListLabel94">
    <w:name w:val="ListLabel 94"/>
    <w:qFormat/>
    <w:rsid w:val="00D35A61"/>
    <w:rPr>
      <w:rFonts w:cs="OpenSymbol"/>
    </w:rPr>
  </w:style>
  <w:style w:type="character" w:customStyle="1" w:styleId="ListLabel95">
    <w:name w:val="ListLabel 95"/>
    <w:qFormat/>
    <w:rsid w:val="00D35A61"/>
    <w:rPr>
      <w:rFonts w:cs="OpenSymbol"/>
    </w:rPr>
  </w:style>
  <w:style w:type="character" w:customStyle="1" w:styleId="ListLabel96">
    <w:name w:val="ListLabel 96"/>
    <w:qFormat/>
    <w:rsid w:val="00D35A61"/>
    <w:rPr>
      <w:rFonts w:cs="OpenSymbol"/>
    </w:rPr>
  </w:style>
  <w:style w:type="character" w:customStyle="1" w:styleId="ListLabel97">
    <w:name w:val="ListLabel 97"/>
    <w:qFormat/>
    <w:rsid w:val="00D35A61"/>
    <w:rPr>
      <w:rFonts w:cs="OpenSymbol"/>
    </w:rPr>
  </w:style>
  <w:style w:type="character" w:customStyle="1" w:styleId="ListLabel98">
    <w:name w:val="ListLabel 98"/>
    <w:qFormat/>
    <w:rsid w:val="00D35A61"/>
    <w:rPr>
      <w:rFonts w:cs="OpenSymbol"/>
    </w:rPr>
  </w:style>
  <w:style w:type="character" w:customStyle="1" w:styleId="ListLabel99">
    <w:name w:val="ListLabel 99"/>
    <w:qFormat/>
    <w:rsid w:val="00D35A61"/>
    <w:rPr>
      <w:rFonts w:cs="OpenSymbol"/>
    </w:rPr>
  </w:style>
  <w:style w:type="paragraph" w:customStyle="1" w:styleId="a5">
    <w:name w:val="Заголовок"/>
    <w:basedOn w:val="a"/>
    <w:next w:val="a6"/>
    <w:qFormat/>
    <w:rsid w:val="00D35A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35A61"/>
    <w:pPr>
      <w:spacing w:after="140" w:line="288" w:lineRule="auto"/>
    </w:pPr>
  </w:style>
  <w:style w:type="paragraph" w:styleId="a7">
    <w:name w:val="List"/>
    <w:basedOn w:val="a6"/>
    <w:rsid w:val="00D35A61"/>
    <w:rPr>
      <w:rFonts w:cs="Mangal"/>
    </w:rPr>
  </w:style>
  <w:style w:type="paragraph" w:customStyle="1" w:styleId="1">
    <w:name w:val="Название объекта1"/>
    <w:basedOn w:val="a"/>
    <w:qFormat/>
    <w:rsid w:val="00D35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35A61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35A61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D35A61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101</cp:revision>
  <dcterms:created xsi:type="dcterms:W3CDTF">2014-03-25T18:57:00Z</dcterms:created>
  <dcterms:modified xsi:type="dcterms:W3CDTF">2022-05-09T09:55:00Z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