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8A" w:rsidRPr="00746DC7" w:rsidRDefault="00746DC7" w:rsidP="00746DC7">
      <w:pPr>
        <w:pStyle w:val="ConsPlusNormal"/>
        <w:shd w:val="clear" w:color="auto" w:fill="FFFFFF"/>
        <w:ind w:firstLine="540"/>
        <w:jc w:val="center"/>
        <w:rPr>
          <w:color w:val="auto"/>
        </w:rPr>
      </w:pPr>
      <w:r w:rsidRPr="00746DC7">
        <w:rPr>
          <w:rStyle w:val="a4"/>
          <w:rFonts w:ascii="Times New Roman" w:hAnsi="Times New Roman"/>
          <w:color w:val="auto"/>
          <w:sz w:val="24"/>
        </w:rPr>
        <w:t xml:space="preserve">Порядок финансирования труда адвоката, осуществляющего защиту на основании ст. 50 УПК РФ, представительство на основании ст. 50 ГПК РФ и оказывающего бесплатную юридическую помощь на основании Федерального закона "О бесплатной юридической помощи в </w:t>
      </w:r>
      <w:r w:rsidRPr="00746DC7">
        <w:rPr>
          <w:rFonts w:ascii="Times New Roman" w:eastAsia="Times New Roman" w:hAnsi="Times New Roman" w:cs="Times New Roman"/>
          <w:b/>
          <w:color w:val="auto"/>
          <w:sz w:val="24"/>
          <w:lang w:eastAsia="ru-RU"/>
        </w:rPr>
        <w:t>Российской Федерации</w:t>
      </w:r>
      <w:r w:rsidRPr="00746DC7">
        <w:rPr>
          <w:rStyle w:val="a4"/>
          <w:rFonts w:ascii="Times New Roman" w:hAnsi="Times New Roman"/>
          <w:color w:val="auto"/>
          <w:sz w:val="24"/>
        </w:rPr>
        <w:t>".</w:t>
      </w:r>
    </w:p>
    <w:p w:rsidR="008B2B8A" w:rsidRPr="00746DC7" w:rsidRDefault="008B2B8A" w:rsidP="00746DC7">
      <w:pPr>
        <w:pStyle w:val="ConsPlusNormal"/>
        <w:shd w:val="clear" w:color="auto" w:fill="FFFFFF"/>
        <w:ind w:firstLine="540"/>
        <w:jc w:val="both"/>
        <w:rPr>
          <w:rStyle w:val="a4"/>
          <w:rFonts w:ascii="Times New Roman" w:hAnsi="Times New Roman" w:cs="Times New Roman"/>
          <w:color w:val="auto"/>
          <w:sz w:val="24"/>
        </w:rPr>
      </w:pPr>
    </w:p>
    <w:p w:rsidR="008B2B8A" w:rsidRPr="00746DC7" w:rsidRDefault="00746DC7" w:rsidP="00746DC7">
      <w:pPr>
        <w:pStyle w:val="ConsPlusNormal"/>
        <w:shd w:val="clear" w:color="auto" w:fill="FFFFFF"/>
        <w:ind w:firstLine="708"/>
        <w:jc w:val="both"/>
        <w:rPr>
          <w:rFonts w:ascii="Times New Roman" w:hAnsi="Times New Roman" w:cs="Times New Roman"/>
          <w:color w:val="auto"/>
          <w:sz w:val="24"/>
        </w:rPr>
      </w:pPr>
      <w:r w:rsidRPr="00746DC7">
        <w:rPr>
          <w:rStyle w:val="a4"/>
          <w:rFonts w:ascii="Times New Roman" w:hAnsi="Times New Roman" w:cs="Times New Roman"/>
          <w:color w:val="auto"/>
          <w:sz w:val="24"/>
        </w:rPr>
        <w:t>Дополнительно!</w:t>
      </w:r>
    </w:p>
    <w:p w:rsidR="008B2B8A" w:rsidRPr="00746DC7" w:rsidRDefault="00746DC7" w:rsidP="00746DC7">
      <w:pPr>
        <w:pStyle w:val="ConsPlusNormal"/>
        <w:shd w:val="clear" w:color="auto" w:fill="FFFFFF"/>
        <w:ind w:firstLine="708"/>
        <w:jc w:val="both"/>
        <w:rPr>
          <w:rFonts w:ascii="Times New Roman" w:hAnsi="Times New Roman" w:cs="Times New Roman"/>
          <w:color w:val="auto"/>
          <w:sz w:val="24"/>
        </w:rPr>
      </w:pPr>
      <w:r w:rsidRPr="00746DC7">
        <w:rPr>
          <w:rStyle w:val="a4"/>
          <w:rFonts w:ascii="Times New Roman" w:hAnsi="Times New Roman" w:cs="Times New Roman"/>
          <w:b w:val="0"/>
          <w:bCs w:val="0"/>
          <w:i/>
          <w:iCs/>
          <w:color w:val="auto"/>
          <w:sz w:val="24"/>
        </w:rPr>
        <w:t>Помимо Конституции РФ и Закона о бесплатной юридической помощи оказание бесплатной юридической помощи регламентируется и иными нормативно-правовыми актами, разделить которые возможно прежде всего в зависимости от субъекта, оказывающего помощь.</w:t>
      </w:r>
    </w:p>
    <w:p w:rsidR="008B2B8A" w:rsidRPr="00746DC7" w:rsidRDefault="008B2B8A" w:rsidP="00746DC7">
      <w:pPr>
        <w:pStyle w:val="ConsPlusNormal"/>
        <w:shd w:val="clear" w:color="auto" w:fill="FFFFFF"/>
        <w:ind w:firstLine="540"/>
        <w:jc w:val="both"/>
        <w:rPr>
          <w:rStyle w:val="a4"/>
          <w:color w:val="auto"/>
        </w:rPr>
      </w:pPr>
    </w:p>
    <w:p w:rsidR="008B2B8A" w:rsidRPr="00746DC7" w:rsidRDefault="00746DC7" w:rsidP="00746DC7">
      <w:pPr>
        <w:pStyle w:val="ConsPlusNormal"/>
        <w:shd w:val="clear" w:color="auto" w:fill="FFFFFF"/>
        <w:ind w:firstLine="708"/>
        <w:jc w:val="both"/>
        <w:rPr>
          <w:rFonts w:ascii="Times New Roman" w:hAnsi="Times New Roman" w:cs="Times New Roman"/>
          <w:color w:val="auto"/>
          <w:sz w:val="24"/>
        </w:rPr>
      </w:pPr>
      <w:r w:rsidRPr="00746DC7">
        <w:rPr>
          <w:rStyle w:val="a4"/>
          <w:rFonts w:ascii="Times New Roman" w:hAnsi="Times New Roman" w:cs="Times New Roman"/>
          <w:color w:val="auto"/>
          <w:sz w:val="24"/>
        </w:rPr>
        <w:t>Дополнительно!</w:t>
      </w:r>
    </w:p>
    <w:p w:rsidR="008B2B8A" w:rsidRPr="00746DC7" w:rsidRDefault="00746DC7" w:rsidP="00746DC7">
      <w:pPr>
        <w:pStyle w:val="ConsPlusNormal"/>
        <w:shd w:val="clear" w:color="auto" w:fill="FFFFFF"/>
        <w:ind w:firstLine="708"/>
        <w:jc w:val="both"/>
        <w:rPr>
          <w:rFonts w:ascii="Times New Roman" w:hAnsi="Times New Roman" w:cs="Times New Roman"/>
          <w:color w:val="auto"/>
          <w:sz w:val="24"/>
        </w:rPr>
      </w:pPr>
      <w:r w:rsidRPr="00746DC7">
        <w:rPr>
          <w:rStyle w:val="a4"/>
          <w:rFonts w:ascii="Times New Roman" w:hAnsi="Times New Roman" w:cs="Times New Roman"/>
          <w:b w:val="0"/>
          <w:bCs w:val="0"/>
          <w:i/>
          <w:iCs/>
          <w:color w:val="auto"/>
          <w:sz w:val="24"/>
        </w:rPr>
        <w:t>Несмотря на то что нормы, регулирующие оказание бесплатной юридической помощи, сконцентрированы в различных отраслях права (конституционное, административное, гражданское процессуальное право и др.), само по себе оказание данной помощи обладает общими чертами. В частности, круг лиц, которые могут воспользоваться правом на получение бесплатной юридической помощи, подлежит ограничению; предоставлению помощи предшествует проверка наличия такого права у лица, обратившегося за оказанием помощи; виды деятельности, которые входят в оказание помощи, часто совпадают в различных отраслях; само по себе оказание помощи строится на одних и тех же принципах и т.д.</w:t>
      </w:r>
    </w:p>
    <w:p w:rsidR="008B2B8A" w:rsidRPr="00746DC7" w:rsidRDefault="008B2B8A" w:rsidP="00746DC7">
      <w:pPr>
        <w:pStyle w:val="ConsPlusNormal"/>
        <w:shd w:val="clear" w:color="auto" w:fill="FFFFFF"/>
        <w:ind w:firstLine="540"/>
        <w:jc w:val="both"/>
        <w:rPr>
          <w:rStyle w:val="a4"/>
          <w:color w:val="auto"/>
        </w:rPr>
      </w:pPr>
    </w:p>
    <w:p w:rsidR="003A2B9D" w:rsidRPr="003A2B9D" w:rsidRDefault="00746DC7" w:rsidP="003A2B9D">
      <w:pPr>
        <w:ind w:firstLine="540"/>
        <w:jc w:val="both"/>
        <w:rPr>
          <w:rFonts w:ascii="Verdana" w:eastAsia="Times New Roman" w:hAnsi="Verdana" w:cs="Times New Roman"/>
          <w:color w:val="auto"/>
          <w:sz w:val="21"/>
          <w:szCs w:val="21"/>
          <w:lang w:eastAsia="ru-RU"/>
        </w:rPr>
      </w:pPr>
      <w:r w:rsidRPr="00746DC7">
        <w:rPr>
          <w:rFonts w:ascii="Times New Roman" w:hAnsi="Times New Roman" w:cs="Times New Roman"/>
          <w:color w:val="auto"/>
          <w:sz w:val="24"/>
          <w:szCs w:val="24"/>
        </w:rPr>
        <w:tab/>
        <w:t xml:space="preserve">Данный вопрос регламентирован положениями </w:t>
      </w:r>
      <w:bookmarkStart w:id="0" w:name="__DdeLink__2279_1671635240"/>
      <w:r w:rsidRPr="00746DC7">
        <w:rPr>
          <w:rFonts w:ascii="Times New Roman" w:hAnsi="Times New Roman" w:cs="Times New Roman"/>
          <w:color w:val="auto"/>
          <w:sz w:val="24"/>
          <w:szCs w:val="24"/>
        </w:rPr>
        <w:t>Постановления Правительства РФ от 01.12.2012 N 1240 "</w:t>
      </w:r>
      <w:r w:rsidRPr="00746DC7">
        <w:rPr>
          <w:rFonts w:ascii="Times New Roman" w:eastAsia="Times New Roman" w:hAnsi="Times New Roman" w:cs="Times New Roman"/>
          <w:color w:val="auto"/>
          <w:sz w:val="24"/>
          <w:szCs w:val="24"/>
          <w:lang w:eastAsia="ru-RU"/>
        </w:rPr>
        <w: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РФ и о признании утратившими силу некоторых актов Совета Министров РСФСР и Правительства РФ"</w:t>
      </w:r>
      <w:bookmarkEnd w:id="0"/>
      <w:r w:rsidRPr="00746DC7">
        <w:rPr>
          <w:rFonts w:ascii="Times New Roman" w:hAnsi="Times New Roman" w:cs="Times New Roman"/>
          <w:color w:val="auto"/>
          <w:sz w:val="24"/>
          <w:szCs w:val="24"/>
        </w:rPr>
        <w:t>.</w:t>
      </w:r>
      <w:r w:rsidRPr="00746DC7">
        <w:rPr>
          <w:rFonts w:ascii="Times New Roman" w:hAnsi="Times New Roman" w:cs="Times New Roman"/>
          <w:color w:val="auto"/>
          <w:sz w:val="24"/>
          <w:szCs w:val="24"/>
        </w:rPr>
        <w:tab/>
      </w:r>
      <w:r w:rsidRPr="00746DC7">
        <w:rPr>
          <w:rFonts w:ascii="Times New Roman" w:hAnsi="Times New Roman" w:cs="Times New Roman"/>
          <w:color w:val="auto"/>
          <w:sz w:val="24"/>
          <w:szCs w:val="24"/>
        </w:rPr>
        <w:tab/>
      </w:r>
      <w:r w:rsidRPr="00746DC7">
        <w:rPr>
          <w:rFonts w:ascii="Times New Roman" w:hAnsi="Times New Roman" w:cs="Times New Roman"/>
          <w:color w:val="auto"/>
          <w:sz w:val="24"/>
          <w:szCs w:val="24"/>
        </w:rPr>
        <w:tab/>
      </w:r>
      <w:r w:rsidR="003A2B9D" w:rsidRPr="003A2B9D">
        <w:rPr>
          <w:rFonts w:ascii="Times New Roman" w:eastAsia="Times New Roman" w:hAnsi="Times New Roman" w:cs="Times New Roman"/>
          <w:color w:val="auto"/>
          <w:sz w:val="24"/>
          <w:szCs w:val="24"/>
          <w:lang w:eastAsia="ru-RU"/>
        </w:rPr>
        <w:t>Размер вознаграждения адвоката, участвующего в уголовном деле по назначению дознавателя, следователя или суда, составляет:</w:t>
      </w:r>
    </w:p>
    <w:p w:rsidR="00532659" w:rsidRPr="00532659" w:rsidRDefault="003A2B9D" w:rsidP="00532659">
      <w:pPr>
        <w:spacing w:after="0" w:line="240" w:lineRule="auto"/>
        <w:ind w:firstLine="540"/>
        <w:jc w:val="both"/>
        <w:rPr>
          <w:rFonts w:ascii="Times New Roman" w:eastAsia="Times New Roman" w:hAnsi="Times New Roman" w:cs="Times New Roman"/>
          <w:color w:val="auto"/>
          <w:sz w:val="24"/>
          <w:szCs w:val="24"/>
          <w:lang w:eastAsia="ru-RU"/>
        </w:rPr>
      </w:pPr>
      <w:bookmarkStart w:id="1" w:name="p142"/>
      <w:bookmarkEnd w:id="1"/>
      <w:r w:rsidRPr="003A2B9D">
        <w:rPr>
          <w:rFonts w:ascii="Times New Roman" w:eastAsia="Times New Roman" w:hAnsi="Times New Roman" w:cs="Times New Roman"/>
          <w:color w:val="auto"/>
          <w:sz w:val="24"/>
          <w:szCs w:val="24"/>
          <w:lang w:eastAsia="ru-RU"/>
        </w:rPr>
        <w:t xml:space="preserve">а) </w:t>
      </w:r>
      <w:r w:rsidR="00532659" w:rsidRPr="00532659">
        <w:rPr>
          <w:rFonts w:ascii="Times New Roman" w:eastAsia="Times New Roman" w:hAnsi="Times New Roman" w:cs="Times New Roman"/>
          <w:color w:val="auto"/>
          <w:sz w:val="24"/>
          <w:szCs w:val="24"/>
          <w:lang w:eastAsia="ru-RU"/>
        </w:rPr>
        <w:t xml:space="preserve">по делам, рассматриваемым судом с участием присяжных заседателей; по делам, рассматриваемым в </w:t>
      </w:r>
      <w:r w:rsidR="00532659">
        <w:rPr>
          <w:rFonts w:ascii="Times New Roman" w:eastAsia="Times New Roman" w:hAnsi="Times New Roman" w:cs="Times New Roman"/>
          <w:color w:val="auto"/>
          <w:sz w:val="24"/>
          <w:szCs w:val="24"/>
          <w:lang w:eastAsia="ru-RU"/>
        </w:rPr>
        <w:t>ВС РФ</w:t>
      </w:r>
      <w:r w:rsidR="00532659" w:rsidRPr="00532659">
        <w:rPr>
          <w:rFonts w:ascii="Times New Roman" w:eastAsia="Times New Roman" w:hAnsi="Times New Roman" w:cs="Times New Roman"/>
          <w:color w:val="auto"/>
          <w:sz w:val="24"/>
          <w:szCs w:val="24"/>
          <w:lang w:eastAsia="ru-RU"/>
        </w:rPr>
        <w:t>; по делам, отнесенным к подсудности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3A2B9D" w:rsidRPr="003A2B9D" w:rsidRDefault="003A2B9D" w:rsidP="003A2B9D">
      <w:pPr>
        <w:pStyle w:val="ad"/>
        <w:numPr>
          <w:ilvl w:val="0"/>
          <w:numId w:val="1"/>
        </w:numPr>
        <w:tabs>
          <w:tab w:val="left" w:pos="1418"/>
        </w:tabs>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2019 года за один день участия в ночное время - 2150 рублей, за один день участия, являющийся нерабочим праздничным днем или выходным днем, включая ночное время, - 2750 рублей, в остальное время за один день участия - 1550 рублей;</w:t>
      </w:r>
    </w:p>
    <w:p w:rsidR="003A2B9D" w:rsidRPr="003A2B9D" w:rsidRDefault="003A2B9D" w:rsidP="003A2B9D">
      <w:pPr>
        <w:pStyle w:val="ad"/>
        <w:numPr>
          <w:ilvl w:val="0"/>
          <w:numId w:val="1"/>
        </w:numPr>
        <w:tabs>
          <w:tab w:val="left" w:pos="1418"/>
        </w:tabs>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2020 года за один день участия в ночное время - 2500 рублей, за один день участия, являющийся нерабочим праздничным днем или выходным днем, включая ночное время, - 3100 рублей, в остальное время за один день участия - 1900 рублей;</w:t>
      </w:r>
    </w:p>
    <w:p w:rsidR="002A644B" w:rsidRPr="002A644B" w:rsidRDefault="003A2B9D" w:rsidP="002A644B">
      <w:pPr>
        <w:pStyle w:val="ad"/>
        <w:numPr>
          <w:ilvl w:val="0"/>
          <w:numId w:val="1"/>
        </w:numPr>
        <w:tabs>
          <w:tab w:val="left" w:pos="1418"/>
        </w:tabs>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2021 года за один день участия в ночное время - 3025 рублей, за один день участия, являющийся нерабочим праздничным днем или выходным днем, включая ночное время, - 3350 рублей, в остальное время за один день участия - 2150 рублей;</w:t>
      </w:r>
    </w:p>
    <w:p w:rsidR="002A644B" w:rsidRPr="002A644B" w:rsidRDefault="002A644B" w:rsidP="002A644B">
      <w:pPr>
        <w:pStyle w:val="ad"/>
        <w:numPr>
          <w:ilvl w:val="0"/>
          <w:numId w:val="1"/>
        </w:numPr>
        <w:tabs>
          <w:tab w:val="left" w:pos="1418"/>
        </w:tabs>
        <w:spacing w:after="0" w:line="240" w:lineRule="auto"/>
        <w:ind w:left="567" w:hanging="567"/>
        <w:jc w:val="both"/>
        <w:rPr>
          <w:rFonts w:ascii="Verdana" w:eastAsia="Times New Roman" w:hAnsi="Verdana" w:cs="Times New Roman"/>
          <w:color w:val="auto"/>
          <w:sz w:val="21"/>
          <w:szCs w:val="21"/>
          <w:lang w:eastAsia="ru-RU"/>
        </w:rPr>
      </w:pPr>
      <w:r w:rsidRPr="002A644B">
        <w:rPr>
          <w:rFonts w:ascii="Times New Roman" w:eastAsia="Times New Roman" w:hAnsi="Times New Roman" w:cs="Times New Roman"/>
          <w:color w:val="auto"/>
          <w:sz w:val="24"/>
          <w:szCs w:val="24"/>
          <w:lang w:eastAsia="ru-RU"/>
        </w:rPr>
        <w:t xml:space="preserve">с 1 октября 2022 г. за один день участия в ночное время - 3146 рублей, за один день участия, являющийся нерабочим праздничным днем или выходным днем, включая ночное время, - 3484 рубля, в остальное время за один день участия - 2236 рублей; </w:t>
      </w:r>
    </w:p>
    <w:p w:rsidR="003A2B9D" w:rsidRPr="003A2B9D" w:rsidRDefault="003A2B9D" w:rsidP="003A2B9D">
      <w:pPr>
        <w:spacing w:after="0" w:line="240" w:lineRule="auto"/>
        <w:ind w:firstLine="540"/>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 xml:space="preserve">б) 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w:t>
      </w:r>
      <w:proofErr w:type="gramStart"/>
      <w:r w:rsidRPr="003A2B9D">
        <w:rPr>
          <w:rFonts w:ascii="Times New Roman" w:eastAsia="Times New Roman" w:hAnsi="Times New Roman" w:cs="Times New Roman"/>
          <w:color w:val="auto"/>
          <w:sz w:val="24"/>
          <w:szCs w:val="24"/>
          <w:lang w:eastAsia="ru-RU"/>
        </w:rPr>
        <w:t>материалов</w:t>
      </w:r>
      <w:proofErr w:type="gramEnd"/>
      <w:r w:rsidRPr="003A2B9D">
        <w:rPr>
          <w:rFonts w:ascii="Times New Roman" w:eastAsia="Times New Roman" w:hAnsi="Times New Roman" w:cs="Times New Roman"/>
          <w:color w:val="auto"/>
          <w:sz w:val="24"/>
          <w:szCs w:val="24"/>
          <w:lang w:eastAsia="ru-RU"/>
        </w:rPr>
        <w:t xml:space="preserve"> по которым составляет более 3 томов:</w:t>
      </w:r>
    </w:p>
    <w:p w:rsidR="003A2B9D" w:rsidRPr="003A2B9D" w:rsidRDefault="003A2B9D" w:rsidP="003A2B9D">
      <w:pPr>
        <w:pStyle w:val="ad"/>
        <w:numPr>
          <w:ilvl w:val="0"/>
          <w:numId w:val="2"/>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lastRenderedPageBreak/>
        <w:t>с 2019 года за один день участия в ночное время - 1825 рублей, за один день участия, являющийся нерабочим праздничным днем или выходным днем, включая ночное время, - 2310 рублей, в остальное время за один день участия - 1330 рублей;</w:t>
      </w:r>
    </w:p>
    <w:p w:rsidR="003A2B9D" w:rsidRPr="003A2B9D" w:rsidRDefault="003A2B9D" w:rsidP="003A2B9D">
      <w:pPr>
        <w:pStyle w:val="ad"/>
        <w:numPr>
          <w:ilvl w:val="0"/>
          <w:numId w:val="2"/>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2020 года за один день участия в ночное время - 2175 рублей, за один день участия, являющийся нерабочим праздничным днем или выходным днем, включая ночное время, - 2660 рублей, в остальное время за один день участия - 1680 рублей;</w:t>
      </w:r>
    </w:p>
    <w:p w:rsidR="002A644B" w:rsidRPr="002A644B" w:rsidRDefault="003A2B9D" w:rsidP="002A644B">
      <w:pPr>
        <w:pStyle w:val="ad"/>
        <w:numPr>
          <w:ilvl w:val="0"/>
          <w:numId w:val="2"/>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2021 года за один день участия в ночное время - 2605 рублей, за один день участия, являющийся нерабочим праздничным днем или выходным днем, включая ночное время, - 2910 рублей, в остальное время за один день участия - 1930 рублей;</w:t>
      </w:r>
    </w:p>
    <w:p w:rsidR="002A644B" w:rsidRPr="002A644B" w:rsidRDefault="002A644B" w:rsidP="002A644B">
      <w:pPr>
        <w:pStyle w:val="ad"/>
        <w:numPr>
          <w:ilvl w:val="0"/>
          <w:numId w:val="2"/>
        </w:numPr>
        <w:spacing w:after="0" w:line="240" w:lineRule="auto"/>
        <w:ind w:left="567" w:hanging="567"/>
        <w:jc w:val="both"/>
        <w:rPr>
          <w:rFonts w:ascii="Verdana" w:eastAsia="Times New Roman" w:hAnsi="Verdana" w:cs="Times New Roman"/>
          <w:color w:val="auto"/>
          <w:sz w:val="21"/>
          <w:szCs w:val="21"/>
          <w:lang w:eastAsia="ru-RU"/>
        </w:rPr>
      </w:pPr>
      <w:r w:rsidRPr="002A644B">
        <w:rPr>
          <w:rFonts w:ascii="Times New Roman" w:eastAsia="Times New Roman" w:hAnsi="Times New Roman" w:cs="Times New Roman"/>
          <w:color w:val="auto"/>
          <w:sz w:val="24"/>
          <w:szCs w:val="24"/>
          <w:lang w:eastAsia="ru-RU"/>
        </w:rPr>
        <w:t>с 1 октября 2022 г. за один день участия в ночное время - 2710 рублей, за один день участия, являющийся нерабочим праздничным днем или выходным днем, включая ночное время, - 3027 рублей, в остальное время за один день участия - 2008 рублей;</w:t>
      </w:r>
    </w:p>
    <w:p w:rsidR="003A2B9D" w:rsidRPr="003A2B9D" w:rsidRDefault="003A2B9D" w:rsidP="003A2B9D">
      <w:pPr>
        <w:spacing w:after="0" w:line="240" w:lineRule="auto"/>
        <w:ind w:firstLine="540"/>
        <w:jc w:val="both"/>
        <w:rPr>
          <w:rFonts w:ascii="Verdana" w:eastAsia="Times New Roman" w:hAnsi="Verdana" w:cs="Times New Roman"/>
          <w:color w:val="auto"/>
          <w:sz w:val="21"/>
          <w:szCs w:val="21"/>
          <w:lang w:eastAsia="ru-RU"/>
        </w:rPr>
      </w:pPr>
      <w:bookmarkStart w:id="2" w:name="p150"/>
      <w:bookmarkEnd w:id="2"/>
      <w:r w:rsidRPr="003A2B9D">
        <w:rPr>
          <w:rFonts w:ascii="Times New Roman" w:eastAsia="Times New Roman" w:hAnsi="Times New Roman" w:cs="Times New Roman"/>
          <w:color w:val="auto"/>
          <w:sz w:val="24"/>
          <w:szCs w:val="24"/>
          <w:lang w:eastAsia="ru-RU"/>
        </w:rPr>
        <w:t>в) 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rsidR="003A2B9D" w:rsidRPr="003A2B9D" w:rsidRDefault="003A2B9D" w:rsidP="003A2B9D">
      <w:pPr>
        <w:pStyle w:val="ad"/>
        <w:numPr>
          <w:ilvl w:val="0"/>
          <w:numId w:val="3"/>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2019 года за один день участия в ночное время - 1500 рублей, за один день участия, являющийся нерабочим праздничным днем или выходным днем, включая ночное время, - 1880 рублей, в остальное время за один день участия - 1115 рублей;</w:t>
      </w:r>
    </w:p>
    <w:p w:rsidR="003A2B9D" w:rsidRPr="003A2B9D" w:rsidRDefault="003A2B9D" w:rsidP="003A2B9D">
      <w:pPr>
        <w:pStyle w:val="ad"/>
        <w:numPr>
          <w:ilvl w:val="0"/>
          <w:numId w:val="3"/>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2020 года за один день участия в ночное время - 1850 рублей, за один день участия, являющийся нерабочим праздничным днем или выходным днем, включая ночное время, - 2230 рублей, в остальное время за один день участия - 1465 рублей;</w:t>
      </w:r>
    </w:p>
    <w:p w:rsidR="002A644B" w:rsidRPr="002A644B" w:rsidRDefault="003A2B9D" w:rsidP="002A644B">
      <w:pPr>
        <w:pStyle w:val="ad"/>
        <w:numPr>
          <w:ilvl w:val="0"/>
          <w:numId w:val="3"/>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2021 года за один день участия в ночное время - 2190 рублей, за один день участия, являющийся нерабочим праздничным днем или выходным днем, включая ночное время, - 2480 рублей, в остальное время за один день участия - 1715 рублей;</w:t>
      </w:r>
    </w:p>
    <w:p w:rsidR="002A644B" w:rsidRPr="002A644B" w:rsidRDefault="002A644B" w:rsidP="002A644B">
      <w:pPr>
        <w:pStyle w:val="ad"/>
        <w:numPr>
          <w:ilvl w:val="0"/>
          <w:numId w:val="3"/>
        </w:numPr>
        <w:spacing w:after="0" w:line="240" w:lineRule="auto"/>
        <w:ind w:left="567" w:hanging="567"/>
        <w:jc w:val="both"/>
        <w:rPr>
          <w:rFonts w:ascii="Verdana" w:eastAsia="Times New Roman" w:hAnsi="Verdana" w:cs="Times New Roman"/>
          <w:color w:val="auto"/>
          <w:sz w:val="21"/>
          <w:szCs w:val="21"/>
          <w:lang w:eastAsia="ru-RU"/>
        </w:rPr>
      </w:pPr>
      <w:r w:rsidRPr="002A644B">
        <w:rPr>
          <w:rFonts w:ascii="Times New Roman" w:eastAsia="Times New Roman" w:hAnsi="Times New Roman" w:cs="Times New Roman"/>
          <w:color w:val="auto"/>
          <w:sz w:val="24"/>
          <w:szCs w:val="24"/>
          <w:lang w:eastAsia="ru-RU"/>
        </w:rPr>
        <w:t>с 1 октября 2022 г. за один день участия в ночное время - 2278 рублей, за один день участия, являющийся нерабочим праздничным днем или выходным днем, включая ночное время, - 2580 рублей, в остальное время за один день участия - 1784 рубля;</w:t>
      </w:r>
    </w:p>
    <w:p w:rsidR="003A2B9D" w:rsidRPr="003A2B9D" w:rsidRDefault="003A2B9D" w:rsidP="003A2B9D">
      <w:pPr>
        <w:spacing w:after="0" w:line="240" w:lineRule="auto"/>
        <w:ind w:firstLine="540"/>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 xml:space="preserve">г) в иных случаях, не предусмотренных </w:t>
      </w:r>
      <w:r>
        <w:rPr>
          <w:rFonts w:ascii="Times New Roman" w:eastAsia="Times New Roman" w:hAnsi="Times New Roman" w:cs="Times New Roman"/>
          <w:color w:val="auto"/>
          <w:sz w:val="24"/>
          <w:szCs w:val="24"/>
          <w:lang w:eastAsia="ru-RU"/>
        </w:rPr>
        <w:t>выше</w:t>
      </w:r>
      <w:r w:rsidRPr="003A2B9D">
        <w:rPr>
          <w:rFonts w:ascii="Times New Roman" w:eastAsia="Times New Roman" w:hAnsi="Times New Roman" w:cs="Times New Roman"/>
          <w:color w:val="auto"/>
          <w:sz w:val="24"/>
          <w:szCs w:val="24"/>
          <w:lang w:eastAsia="ru-RU"/>
        </w:rPr>
        <w:t>:</w:t>
      </w:r>
    </w:p>
    <w:p w:rsidR="003A2B9D" w:rsidRPr="003A2B9D" w:rsidRDefault="003A2B9D" w:rsidP="003A2B9D">
      <w:pPr>
        <w:pStyle w:val="ad"/>
        <w:numPr>
          <w:ilvl w:val="0"/>
          <w:numId w:val="4"/>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2019 года за один день участия в ночное время - 1175 рублей, за один день участия, являющийся нерабочим праздничным днем или выходным днем, включая ночное время, - 1450 рублей, в остальное время за один день участия - 900 рублей;</w:t>
      </w:r>
    </w:p>
    <w:p w:rsidR="003A2B9D" w:rsidRPr="003A2B9D" w:rsidRDefault="003A2B9D" w:rsidP="003A2B9D">
      <w:pPr>
        <w:pStyle w:val="ad"/>
        <w:numPr>
          <w:ilvl w:val="0"/>
          <w:numId w:val="4"/>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с 2020 года за один день участия в ночное время - 1525 рублей, за один день участия, являющийся нерабочим праздничным днем или выходным днем, включая ночное время, - 1800 рублей, в остальное время за один день участия - 1250 рублей;</w:t>
      </w:r>
    </w:p>
    <w:p w:rsidR="002A644B" w:rsidRPr="002A644B" w:rsidRDefault="003A2B9D" w:rsidP="002A644B">
      <w:pPr>
        <w:pStyle w:val="ad"/>
        <w:numPr>
          <w:ilvl w:val="0"/>
          <w:numId w:val="4"/>
        </w:numPr>
        <w:spacing w:after="0" w:line="240" w:lineRule="auto"/>
        <w:ind w:left="567" w:hanging="567"/>
        <w:jc w:val="both"/>
        <w:rPr>
          <w:rFonts w:ascii="Verdana" w:eastAsia="Times New Roman" w:hAnsi="Verdana" w:cs="Times New Roman"/>
          <w:color w:val="auto"/>
          <w:sz w:val="21"/>
          <w:szCs w:val="21"/>
          <w:lang w:eastAsia="ru-RU"/>
        </w:rPr>
      </w:pPr>
      <w:r w:rsidRPr="003A2B9D">
        <w:rPr>
          <w:rFonts w:ascii="Times New Roman" w:eastAsia="Times New Roman" w:hAnsi="Times New Roman" w:cs="Times New Roman"/>
          <w:color w:val="auto"/>
          <w:sz w:val="24"/>
          <w:szCs w:val="24"/>
          <w:lang w:eastAsia="ru-RU"/>
        </w:rPr>
        <w:t xml:space="preserve">с 2021 года за один день участия в ночное время - 1775 рублей, за один день участия, являющийся нерабочим праздничным днем или выходным днем, включая ночное время, - 2050 рублей, в остальное время за </w:t>
      </w:r>
      <w:r w:rsidR="002A644B">
        <w:rPr>
          <w:rFonts w:ascii="Times New Roman" w:eastAsia="Times New Roman" w:hAnsi="Times New Roman" w:cs="Times New Roman"/>
          <w:color w:val="auto"/>
          <w:sz w:val="24"/>
          <w:szCs w:val="24"/>
          <w:lang w:eastAsia="ru-RU"/>
        </w:rPr>
        <w:t>один день участия - 1500 рублей;</w:t>
      </w:r>
    </w:p>
    <w:p w:rsidR="002A644B" w:rsidRPr="002A644B" w:rsidRDefault="002A644B" w:rsidP="002A644B">
      <w:pPr>
        <w:pStyle w:val="ad"/>
        <w:numPr>
          <w:ilvl w:val="0"/>
          <w:numId w:val="4"/>
        </w:numPr>
        <w:spacing w:after="0" w:line="240" w:lineRule="auto"/>
        <w:ind w:left="567" w:hanging="567"/>
        <w:jc w:val="both"/>
        <w:rPr>
          <w:rFonts w:ascii="Verdana" w:eastAsia="Times New Roman" w:hAnsi="Verdana" w:cs="Times New Roman"/>
          <w:color w:val="auto"/>
          <w:sz w:val="21"/>
          <w:szCs w:val="21"/>
          <w:lang w:eastAsia="ru-RU"/>
        </w:rPr>
      </w:pPr>
      <w:bookmarkStart w:id="3" w:name="_GoBack"/>
      <w:bookmarkEnd w:id="3"/>
      <w:r w:rsidRPr="002A644B">
        <w:rPr>
          <w:rFonts w:ascii="Times New Roman" w:eastAsia="Times New Roman" w:hAnsi="Times New Roman" w:cs="Times New Roman"/>
          <w:color w:val="auto"/>
          <w:sz w:val="24"/>
          <w:szCs w:val="24"/>
          <w:lang w:eastAsia="ru-RU"/>
        </w:rPr>
        <w:t>с 1 октября 2022 г. за один день участия в ночное время - 1846 рублей, за один день участия, являющийся нерабочим праздничным днем или выходным днем, включая ночное время, - 2132 рубля, в остальное время за один день участия - 1560 рублей.</w:t>
      </w:r>
    </w:p>
    <w:p w:rsidR="00DF6C04" w:rsidRPr="00DF6C04" w:rsidRDefault="00DF6C04" w:rsidP="00DF6C04">
      <w:pPr>
        <w:spacing w:after="0" w:line="240" w:lineRule="auto"/>
        <w:ind w:firstLine="567"/>
        <w:jc w:val="both"/>
        <w:rPr>
          <w:rFonts w:ascii="Verdana" w:eastAsia="Times New Roman" w:hAnsi="Verdana" w:cs="Times New Roman"/>
          <w:color w:val="auto"/>
          <w:sz w:val="21"/>
          <w:szCs w:val="21"/>
          <w:lang w:eastAsia="ru-RU"/>
        </w:rPr>
      </w:pPr>
      <w:r w:rsidRPr="00DF6C04">
        <w:rPr>
          <w:rFonts w:ascii="Times New Roman" w:eastAsia="Times New Roman" w:hAnsi="Times New Roman" w:cs="Times New Roman"/>
          <w:color w:val="auto"/>
          <w:sz w:val="24"/>
          <w:szCs w:val="24"/>
          <w:lang w:eastAsia="ru-RU"/>
        </w:rPr>
        <w:t>При определении размера вознаграждения адвоката, участвующего в уголовном деле по назначению дознавателя, следователя или суда, подлежит учету время, затраченное адвокат</w:t>
      </w:r>
      <w:r>
        <w:rPr>
          <w:rFonts w:ascii="Times New Roman" w:eastAsia="Times New Roman" w:hAnsi="Times New Roman" w:cs="Times New Roman"/>
          <w:color w:val="auto"/>
          <w:sz w:val="24"/>
          <w:szCs w:val="24"/>
          <w:lang w:eastAsia="ru-RU"/>
        </w:rPr>
        <w:t>ом на осуществление полномочий</w:t>
      </w:r>
      <w:r w:rsidRPr="00DF6C04">
        <w:rPr>
          <w:rFonts w:ascii="Times New Roman" w:eastAsia="Times New Roman" w:hAnsi="Times New Roman" w:cs="Times New Roman"/>
          <w:color w:val="auto"/>
          <w:sz w:val="24"/>
          <w:szCs w:val="24"/>
          <w:lang w:eastAsia="ru-RU"/>
        </w:rPr>
        <w:t>, а также на осуществление других действий адвоката по оказанию квали</w:t>
      </w:r>
      <w:r>
        <w:rPr>
          <w:rFonts w:ascii="Times New Roman" w:eastAsia="Times New Roman" w:hAnsi="Times New Roman" w:cs="Times New Roman"/>
          <w:color w:val="auto"/>
          <w:sz w:val="24"/>
          <w:szCs w:val="24"/>
          <w:lang w:eastAsia="ru-RU"/>
        </w:rPr>
        <w:t xml:space="preserve">фицированной юридической помощи </w:t>
      </w:r>
      <w:r w:rsidRPr="00DF6C04">
        <w:rPr>
          <w:rFonts w:ascii="Times New Roman" w:eastAsia="Times New Roman" w:hAnsi="Times New Roman" w:cs="Times New Roman"/>
          <w:color w:val="auto"/>
          <w:sz w:val="24"/>
          <w:szCs w:val="24"/>
          <w:lang w:eastAsia="ru-RU"/>
        </w:rPr>
        <w:t>при условии предоставления подтверждающих документов.</w:t>
      </w:r>
    </w:p>
    <w:p w:rsidR="00DF6C04" w:rsidRPr="00DF6C04" w:rsidRDefault="00DF6C04" w:rsidP="00DF6C04">
      <w:pPr>
        <w:spacing w:after="0" w:line="240" w:lineRule="auto"/>
        <w:ind w:firstLine="540"/>
        <w:jc w:val="both"/>
        <w:rPr>
          <w:rFonts w:ascii="Verdana" w:eastAsia="Times New Roman" w:hAnsi="Verdana" w:cs="Times New Roman"/>
          <w:color w:val="auto"/>
          <w:sz w:val="21"/>
          <w:szCs w:val="21"/>
          <w:lang w:eastAsia="ru-RU"/>
        </w:rPr>
      </w:pPr>
      <w:r w:rsidRPr="00DF6C04">
        <w:rPr>
          <w:rFonts w:ascii="Times New Roman" w:eastAsia="Times New Roman" w:hAnsi="Times New Roman" w:cs="Times New Roman"/>
          <w:color w:val="auto"/>
          <w:sz w:val="24"/>
          <w:szCs w:val="24"/>
          <w:lang w:eastAsia="ru-RU"/>
        </w:rPr>
        <w:t xml:space="preserve">Время занятости адвоката, участвующего в уголовном деле по назначению дознавателя, следователя или суда, исчисляется в днях, в которые он был фактически занят осуществлением полномочий адвоката по соответствующему уголовному делу, вне </w:t>
      </w:r>
      <w:r w:rsidRPr="00DF6C04">
        <w:rPr>
          <w:rFonts w:ascii="Times New Roman" w:eastAsia="Times New Roman" w:hAnsi="Times New Roman" w:cs="Times New Roman"/>
          <w:color w:val="auto"/>
          <w:sz w:val="24"/>
          <w:szCs w:val="24"/>
          <w:lang w:eastAsia="ru-RU"/>
        </w:rPr>
        <w:lastRenderedPageBreak/>
        <w:t>зависимости от продолжительности работы по данному уголовному делу в течение дня, в том числе в течение нерабочего праздничного дня или выходного дня либо ночного времени.</w:t>
      </w:r>
    </w:p>
    <w:p w:rsidR="00DF6C04" w:rsidRPr="00DF6C04" w:rsidRDefault="00DF6C04" w:rsidP="00DF6C04">
      <w:pPr>
        <w:spacing w:after="0" w:line="240" w:lineRule="auto"/>
        <w:ind w:firstLine="540"/>
        <w:jc w:val="both"/>
        <w:rPr>
          <w:rFonts w:ascii="Verdana" w:eastAsia="Times New Roman" w:hAnsi="Verdana" w:cs="Times New Roman"/>
          <w:color w:val="auto"/>
          <w:sz w:val="21"/>
          <w:szCs w:val="21"/>
          <w:lang w:eastAsia="ru-RU"/>
        </w:rPr>
      </w:pPr>
      <w:r w:rsidRPr="00DF6C04">
        <w:rPr>
          <w:rFonts w:ascii="Times New Roman" w:eastAsia="Times New Roman" w:hAnsi="Times New Roman" w:cs="Times New Roman"/>
          <w:color w:val="auto"/>
          <w:sz w:val="24"/>
          <w:szCs w:val="24"/>
          <w:lang w:eastAsia="ru-RU"/>
        </w:rPr>
        <w:t>В случае осуществления полномочий адвокатом в течение дня по нескольким уголовным делам вопрос об оплате его труда решается дознавателем, следователем, судом соответственно по каждому уголовному делу в отдельности.</w:t>
      </w:r>
    </w:p>
    <w:p w:rsidR="00DF6C04" w:rsidRPr="00DF6C04" w:rsidRDefault="00DF6C04" w:rsidP="00DF6C04">
      <w:pPr>
        <w:spacing w:after="0" w:line="240" w:lineRule="auto"/>
        <w:ind w:firstLine="540"/>
        <w:jc w:val="both"/>
        <w:rPr>
          <w:rFonts w:ascii="Verdana" w:eastAsia="Times New Roman" w:hAnsi="Verdana" w:cs="Times New Roman"/>
          <w:color w:val="auto"/>
          <w:sz w:val="21"/>
          <w:szCs w:val="21"/>
          <w:lang w:eastAsia="ru-RU"/>
        </w:rPr>
      </w:pPr>
      <w:r w:rsidRPr="00DF6C04">
        <w:rPr>
          <w:rFonts w:ascii="Times New Roman" w:eastAsia="Times New Roman" w:hAnsi="Times New Roman" w:cs="Times New Roman"/>
          <w:color w:val="auto"/>
          <w:sz w:val="24"/>
          <w:szCs w:val="24"/>
          <w:lang w:eastAsia="ru-RU"/>
        </w:rPr>
        <w:t>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w:t>
      </w:r>
    </w:p>
    <w:p w:rsidR="00DF6C04" w:rsidRPr="00DF6C04" w:rsidRDefault="00DF6C04" w:rsidP="00DF6C04">
      <w:pPr>
        <w:spacing w:after="0" w:line="240" w:lineRule="auto"/>
        <w:ind w:firstLine="540"/>
        <w:jc w:val="both"/>
        <w:rPr>
          <w:rFonts w:ascii="Verdana" w:eastAsia="Times New Roman" w:hAnsi="Verdana" w:cs="Times New Roman"/>
          <w:color w:val="auto"/>
          <w:sz w:val="21"/>
          <w:szCs w:val="21"/>
          <w:lang w:eastAsia="ru-RU"/>
        </w:rPr>
      </w:pPr>
      <w:r w:rsidRPr="00DF6C04">
        <w:rPr>
          <w:rFonts w:ascii="Times New Roman" w:eastAsia="Times New Roman" w:hAnsi="Times New Roman" w:cs="Times New Roman"/>
          <w:color w:val="auto"/>
          <w:sz w:val="24"/>
          <w:szCs w:val="24"/>
          <w:lang w:eastAsia="ru-RU"/>
        </w:rPr>
        <w:t xml:space="preserve">В случае участия адвоката в уголовном деле по назначению дознавателя, следователя или суда в районах Крайнего Севера и приравненных к ним местностях, а также в других местностях с тяжелыми климатическими условиями, в которых законодательством </w:t>
      </w:r>
      <w:r>
        <w:rPr>
          <w:rFonts w:ascii="Times New Roman" w:eastAsia="Times New Roman" w:hAnsi="Times New Roman" w:cs="Times New Roman"/>
          <w:color w:val="auto"/>
          <w:sz w:val="24"/>
          <w:szCs w:val="24"/>
          <w:lang w:eastAsia="ru-RU"/>
        </w:rPr>
        <w:t>РФ</w:t>
      </w:r>
      <w:r w:rsidRPr="00DF6C04">
        <w:rPr>
          <w:rFonts w:ascii="Times New Roman" w:eastAsia="Times New Roman" w:hAnsi="Times New Roman" w:cs="Times New Roman"/>
          <w:color w:val="auto"/>
          <w:sz w:val="24"/>
          <w:szCs w:val="24"/>
          <w:lang w:eastAsia="ru-RU"/>
        </w:rPr>
        <w:t xml:space="preserve"> установлены процентные надбавки и (или) районные коэффициенты к заработной плате, выплата вознаграждения адвокату осуществляется с учетом указанных надбавок и коэффициентов.</w:t>
      </w:r>
    </w:p>
    <w:p w:rsidR="009A2664" w:rsidRDefault="00746DC7" w:rsidP="009A2664">
      <w:pPr>
        <w:spacing w:after="0" w:line="240" w:lineRule="auto"/>
        <w:ind w:firstLine="540"/>
        <w:jc w:val="both"/>
        <w:rPr>
          <w:rFonts w:ascii="Times New Roman" w:eastAsia="Times New Roman" w:hAnsi="Times New Roman" w:cs="Times New Roman"/>
          <w:color w:val="auto"/>
          <w:sz w:val="24"/>
          <w:szCs w:val="24"/>
          <w:lang w:eastAsia="ru-RU"/>
        </w:rPr>
      </w:pPr>
      <w:r w:rsidRPr="00746DC7">
        <w:rPr>
          <w:rFonts w:ascii="Times New Roman" w:hAnsi="Times New Roman" w:cs="Calibri"/>
          <w:color w:val="auto"/>
          <w:sz w:val="24"/>
          <w:szCs w:val="24"/>
        </w:rPr>
        <w:tab/>
      </w:r>
      <w:r w:rsidR="009A2664" w:rsidRPr="009A2664">
        <w:rPr>
          <w:rFonts w:ascii="Times New Roman" w:eastAsia="Times New Roman" w:hAnsi="Times New Roman" w:cs="Times New Roman"/>
          <w:color w:val="auto"/>
          <w:sz w:val="24"/>
          <w:szCs w:val="24"/>
          <w:lang w:eastAsia="ru-RU"/>
        </w:rPr>
        <w:t xml:space="preserve">При наличии технической возможности в суде заявление о выплате вознаграждения адвокату, а также прилагаемые к нему документы могут быть поданы в суд в форме электронных документов (в том числе с использованием специальных программных средств), подписанных лицом, их направившим, электронной подписью в соответствии с законодательством </w:t>
      </w:r>
      <w:r w:rsidR="009A2664">
        <w:rPr>
          <w:rFonts w:ascii="Times New Roman" w:eastAsia="Times New Roman" w:hAnsi="Times New Roman" w:cs="Times New Roman"/>
          <w:color w:val="auto"/>
          <w:sz w:val="24"/>
          <w:szCs w:val="24"/>
          <w:lang w:eastAsia="ru-RU"/>
        </w:rPr>
        <w:t>РФ</w:t>
      </w:r>
      <w:r w:rsidR="009A2664" w:rsidRPr="009A2664">
        <w:rPr>
          <w:rFonts w:ascii="Times New Roman" w:eastAsia="Times New Roman" w:hAnsi="Times New Roman" w:cs="Times New Roman"/>
          <w:color w:val="auto"/>
          <w:sz w:val="24"/>
          <w:szCs w:val="24"/>
          <w:lang w:eastAsia="ru-RU"/>
        </w:rPr>
        <w:t>.</w:t>
      </w:r>
    </w:p>
    <w:p w:rsidR="003F3771" w:rsidRPr="009A2664" w:rsidRDefault="003F3771" w:rsidP="003F3771">
      <w:pPr>
        <w:spacing w:after="0" w:line="240" w:lineRule="auto"/>
        <w:ind w:firstLine="708"/>
        <w:jc w:val="both"/>
        <w:rPr>
          <w:rFonts w:ascii="Verdana" w:eastAsia="Times New Roman" w:hAnsi="Verdana" w:cs="Times New Roman"/>
          <w:color w:val="auto"/>
          <w:sz w:val="21"/>
          <w:szCs w:val="21"/>
          <w:lang w:eastAsia="ru-RU"/>
        </w:rPr>
      </w:pPr>
      <w:r>
        <w:rPr>
          <w:rFonts w:ascii="Times New Roman" w:eastAsia="Times New Roman" w:hAnsi="Times New Roman" w:cs="Times New Roman"/>
          <w:color w:val="auto"/>
          <w:sz w:val="24"/>
          <w:szCs w:val="24"/>
          <w:lang w:eastAsia="ru-RU"/>
        </w:rPr>
        <w:t>В свою очередь, о</w:t>
      </w:r>
      <w:r w:rsidRPr="0042707F">
        <w:rPr>
          <w:rFonts w:ascii="Times New Roman" w:eastAsia="Times New Roman" w:hAnsi="Times New Roman" w:cs="Times New Roman"/>
          <w:color w:val="auto"/>
          <w:sz w:val="24"/>
          <w:szCs w:val="24"/>
          <w:lang w:eastAsia="ru-RU"/>
        </w:rPr>
        <w:t>пределени</w:t>
      </w:r>
      <w:r>
        <w:rPr>
          <w:rFonts w:ascii="Times New Roman" w:eastAsia="Times New Roman" w:hAnsi="Times New Roman" w:cs="Times New Roman"/>
          <w:color w:val="auto"/>
          <w:sz w:val="24"/>
          <w:szCs w:val="24"/>
          <w:lang w:eastAsia="ru-RU"/>
        </w:rPr>
        <w:t xml:space="preserve">е (постановление) суда (судьи) </w:t>
      </w:r>
      <w:r w:rsidRPr="0042707F">
        <w:rPr>
          <w:rFonts w:ascii="Times New Roman" w:eastAsia="Times New Roman" w:hAnsi="Times New Roman" w:cs="Times New Roman"/>
          <w:color w:val="auto"/>
          <w:sz w:val="24"/>
          <w:szCs w:val="24"/>
          <w:lang w:eastAsia="ru-RU"/>
        </w:rPr>
        <w:t xml:space="preserve">может быть выполнено в форме электронного документа, подписываемого судьями (судьей) усиленной квалифицированной электронной подписью в порядке, установленном законодательством </w:t>
      </w:r>
      <w:r>
        <w:rPr>
          <w:rFonts w:ascii="Times New Roman" w:eastAsia="Times New Roman" w:hAnsi="Times New Roman" w:cs="Times New Roman"/>
          <w:color w:val="auto"/>
          <w:sz w:val="24"/>
          <w:szCs w:val="24"/>
          <w:lang w:eastAsia="ru-RU"/>
        </w:rPr>
        <w:t>РФ</w:t>
      </w:r>
      <w:r w:rsidRPr="0042707F">
        <w:rPr>
          <w:rFonts w:ascii="Times New Roman" w:eastAsia="Times New Roman" w:hAnsi="Times New Roman" w:cs="Times New Roman"/>
          <w:color w:val="auto"/>
          <w:sz w:val="24"/>
          <w:szCs w:val="24"/>
          <w:lang w:eastAsia="ru-RU"/>
        </w:rPr>
        <w:t>.</w:t>
      </w:r>
      <w:r w:rsidR="00473667" w:rsidRPr="00473667">
        <w:rPr>
          <w:rFonts w:ascii="Times New Roman" w:eastAsia="Times New Roman" w:hAnsi="Times New Roman" w:cs="Times New Roman"/>
          <w:color w:val="auto"/>
          <w:sz w:val="24"/>
          <w:szCs w:val="24"/>
          <w:lang w:eastAsia="ru-RU"/>
        </w:rPr>
        <w:t xml:space="preserve"> </w:t>
      </w:r>
      <w:r w:rsidR="00473667">
        <w:rPr>
          <w:rFonts w:ascii="Times New Roman" w:eastAsia="Times New Roman" w:hAnsi="Times New Roman" w:cs="Times New Roman"/>
          <w:color w:val="auto"/>
          <w:sz w:val="24"/>
          <w:szCs w:val="24"/>
          <w:lang w:eastAsia="ru-RU"/>
        </w:rPr>
        <w:t>Данное о</w:t>
      </w:r>
      <w:r w:rsidR="00473667" w:rsidRPr="0042707F">
        <w:rPr>
          <w:rFonts w:ascii="Times New Roman" w:eastAsia="Times New Roman" w:hAnsi="Times New Roman" w:cs="Times New Roman"/>
          <w:color w:val="auto"/>
          <w:sz w:val="24"/>
          <w:szCs w:val="24"/>
          <w:lang w:eastAsia="ru-RU"/>
        </w:rPr>
        <w:t>пределени</w:t>
      </w:r>
      <w:r w:rsidR="00473667">
        <w:rPr>
          <w:rFonts w:ascii="Times New Roman" w:eastAsia="Times New Roman" w:hAnsi="Times New Roman" w:cs="Times New Roman"/>
          <w:color w:val="auto"/>
          <w:sz w:val="24"/>
          <w:szCs w:val="24"/>
          <w:lang w:eastAsia="ru-RU"/>
        </w:rPr>
        <w:t xml:space="preserve">е (постановление) суда (судьи) </w:t>
      </w:r>
      <w:r w:rsidR="00473667" w:rsidRPr="0042707F">
        <w:rPr>
          <w:rFonts w:ascii="Times New Roman" w:eastAsia="Times New Roman" w:hAnsi="Times New Roman" w:cs="Times New Roman"/>
          <w:color w:val="auto"/>
          <w:sz w:val="24"/>
          <w:szCs w:val="24"/>
          <w:lang w:eastAsia="ru-RU"/>
        </w:rPr>
        <w:t xml:space="preserve">может быть направлено в соответствующую финансовую службу, а также подотчетным лицам или их представителям (по их просьбе или с их согласия) в форме электронного документа (в том числе с использованием специальных программных средств), подписываемого судьями (судьей) усиленной квалифицированной электронной подписью в порядке, установленном законодательством </w:t>
      </w:r>
      <w:r w:rsidR="00473667">
        <w:rPr>
          <w:rFonts w:ascii="Times New Roman" w:eastAsia="Times New Roman" w:hAnsi="Times New Roman" w:cs="Times New Roman"/>
          <w:color w:val="auto"/>
          <w:sz w:val="24"/>
          <w:szCs w:val="24"/>
          <w:lang w:eastAsia="ru-RU"/>
        </w:rPr>
        <w:t>РФ</w:t>
      </w:r>
      <w:r w:rsidR="00473667" w:rsidRPr="0042707F">
        <w:rPr>
          <w:rFonts w:ascii="Times New Roman" w:eastAsia="Times New Roman" w:hAnsi="Times New Roman" w:cs="Times New Roman"/>
          <w:color w:val="auto"/>
          <w:sz w:val="24"/>
          <w:szCs w:val="24"/>
          <w:lang w:eastAsia="ru-RU"/>
        </w:rPr>
        <w:t>. В этом случае копия определения (постановления) суда (судьи) на бума</w:t>
      </w:r>
      <w:r w:rsidR="00473667">
        <w:rPr>
          <w:rFonts w:ascii="Times New Roman" w:eastAsia="Times New Roman" w:hAnsi="Times New Roman" w:cs="Times New Roman"/>
          <w:color w:val="auto"/>
          <w:sz w:val="24"/>
          <w:szCs w:val="24"/>
          <w:lang w:eastAsia="ru-RU"/>
        </w:rPr>
        <w:t>жном носителе не направляется.</w:t>
      </w:r>
    </w:p>
    <w:p w:rsidR="008B2B8A" w:rsidRPr="00746DC7" w:rsidRDefault="00746DC7" w:rsidP="009A2664">
      <w:pPr>
        <w:spacing w:line="240" w:lineRule="auto"/>
        <w:ind w:firstLine="708"/>
        <w:jc w:val="both"/>
        <w:rPr>
          <w:color w:val="auto"/>
        </w:rPr>
      </w:pPr>
      <w:r w:rsidRPr="00746DC7">
        <w:rPr>
          <w:rFonts w:ascii="Times New Roman" w:hAnsi="Times New Roman" w:cs="Calibri"/>
          <w:color w:val="auto"/>
          <w:sz w:val="24"/>
          <w:szCs w:val="24"/>
        </w:rPr>
        <w:t>Возмещение процессуальных издержек подотчетным лицам производится также в случаях, если процессуальные действия, для осуществления которых подотчетное лицо вызывалось, не произведены по независящим от этого лица обстоятельствам.</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Размер вознаграждения адвоката, участвующего в гражданском судопроизводстве по назначению суда в порядке, предусмотренном ст. 50 ГПК РФ («Представители, назначаемые судом»), или в административном судопроизводстве в порядке, предусмотренном ст. 54 КАС РФ («Ведение административных дел в суде через представителей»), за один рабочий день участия составляет не менее 550 рублей и не более 1200 рублей, а в ночное время - не менее 825 рублей и не более 1800 рублей. Оплата вознаграждения адвоката, участвующего в гражданском или административном судопроизводстве по назначению суда, осуществляется за счет средств федерального бюджета.</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При определении размера вознаграждения адвоката, участвующего в гражданском или административном судопроизводстве по назначению суда, учитывается сложность гражданского или административного дела.</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При определении сложности гражданского или административного дела учитываются подсудность (дела, рассматриваемые ВС РФ, верховными судами республик, входящих в состав РФ, и приравненными к ним судами в качестве суда первой инстанции), сложность предмета спора и обстоятельств дела, численность лиц, участвующих в деле, объем материалов дела и другие обстоятельства.</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 xml:space="preserve">При длительном участии переводчика, а также адвоката, участвующего в уголовном деле по назначению дознавателя, следователя или суда, заявление подается переводчиком или адвокатом, участвующим в уголовном деле по назначению </w:t>
      </w:r>
      <w:r w:rsidRPr="00746DC7">
        <w:rPr>
          <w:rFonts w:ascii="Times New Roman" w:hAnsi="Times New Roman" w:cs="Calibri"/>
          <w:color w:val="auto"/>
          <w:sz w:val="24"/>
          <w:szCs w:val="24"/>
        </w:rPr>
        <w:lastRenderedPageBreak/>
        <w:t>дознавателя, следователя или суда, соответственно в орган дознания, орган предварительного следствия, орган прокуратуры или суд ежемесячно.</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решения уполномоченного государственного органа.</w:t>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r>
      <w:r w:rsidRPr="00746DC7">
        <w:rPr>
          <w:rFonts w:ascii="Times New Roman" w:hAnsi="Times New Roman" w:cs="Calibri"/>
          <w:color w:val="auto"/>
          <w:sz w:val="24"/>
          <w:szCs w:val="24"/>
        </w:rPr>
        <w:tab/>
        <w:t>Финансовое обеспечение расходных обязательств, связанных с реализацией Постановления Правительства РФ от 01.12.2012 N 1240, осуществляется в пределах бюджетных ассигнований, предусмотренных в федеральном бюджете на соответствующий финансовый год на содержание судов и государственных органов, наделенных полномочиями по производству дознания и предварительного следствия.</w:t>
      </w:r>
    </w:p>
    <w:p w:rsidR="008B2B8A" w:rsidRPr="00746DC7" w:rsidRDefault="00746DC7" w:rsidP="00746DC7">
      <w:pPr>
        <w:spacing w:line="240" w:lineRule="auto"/>
        <w:jc w:val="both"/>
        <w:rPr>
          <w:color w:val="auto"/>
        </w:rPr>
      </w:pPr>
      <w:r w:rsidRPr="00746DC7">
        <w:rPr>
          <w:rFonts w:ascii="Times New Roman" w:hAnsi="Times New Roman" w:cs="Calibri"/>
          <w:b/>
          <w:bCs/>
          <w:color w:val="auto"/>
          <w:sz w:val="24"/>
          <w:szCs w:val="24"/>
        </w:rPr>
        <w:tab/>
        <w:t>Дополнительно!</w:t>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b/>
          <w:bCs/>
          <w:color w:val="auto"/>
          <w:sz w:val="24"/>
          <w:szCs w:val="24"/>
        </w:rPr>
        <w:tab/>
      </w:r>
      <w:r w:rsidRPr="00746DC7">
        <w:rPr>
          <w:rFonts w:ascii="Times New Roman" w:hAnsi="Times New Roman" w:cs="Calibri"/>
          <w:i/>
          <w:iCs/>
          <w:color w:val="auto"/>
          <w:sz w:val="24"/>
          <w:szCs w:val="24"/>
        </w:rPr>
        <w:t>Бюджетное финансирования зачастую является хорошим подспорьем, но позиционирование его в качестве единственного источника финансирования сопряжено с рядом проблем в деятельности соответствующего субъекта, поскольку выделение средств может производиться не в полном объеме, с задержкой по времени и т.п. Подобные обстоятельства фактически сводят всю систему бесплатной юридической помощи на нет. В то же время наряду с малоимущими категориями граждан, нуждающимися в бесплатной помощи, есть ряд иных категорий субъектов, которые готовы оплатить предоставление им квалифицированной юридической помощи, что создает дополнительные собственные средства, которые могут быть направлены на финансирование бесплатной помощи.</w:t>
      </w:r>
      <w:r w:rsidRPr="00746DC7">
        <w:rPr>
          <w:rFonts w:ascii="Times New Roman" w:hAnsi="Times New Roman" w:cs="Calibri"/>
          <w:i/>
          <w:iCs/>
          <w:color w:val="auto"/>
          <w:sz w:val="24"/>
          <w:szCs w:val="24"/>
        </w:rPr>
        <w:tab/>
      </w:r>
      <w:r w:rsidRPr="00746DC7">
        <w:rPr>
          <w:rFonts w:ascii="Times New Roman" w:hAnsi="Times New Roman" w:cs="Calibri"/>
          <w:i/>
          <w:iCs/>
          <w:color w:val="auto"/>
          <w:sz w:val="24"/>
          <w:szCs w:val="24"/>
        </w:rPr>
        <w:tab/>
      </w:r>
      <w:r>
        <w:rPr>
          <w:rFonts w:ascii="Times New Roman" w:hAnsi="Times New Roman" w:cs="Calibri"/>
          <w:i/>
          <w:iCs/>
          <w:color w:val="auto"/>
          <w:sz w:val="24"/>
          <w:szCs w:val="24"/>
        </w:rPr>
        <w:tab/>
      </w:r>
      <w:r>
        <w:rPr>
          <w:rFonts w:ascii="Times New Roman" w:hAnsi="Times New Roman" w:cs="Calibri"/>
          <w:i/>
          <w:iCs/>
          <w:color w:val="auto"/>
          <w:sz w:val="24"/>
          <w:szCs w:val="24"/>
        </w:rPr>
        <w:tab/>
      </w:r>
      <w:r>
        <w:rPr>
          <w:rFonts w:ascii="Times New Roman" w:hAnsi="Times New Roman" w:cs="Calibri"/>
          <w:i/>
          <w:iCs/>
          <w:color w:val="auto"/>
          <w:sz w:val="24"/>
          <w:szCs w:val="24"/>
        </w:rPr>
        <w:tab/>
      </w:r>
      <w:r>
        <w:rPr>
          <w:rFonts w:ascii="Times New Roman" w:hAnsi="Times New Roman" w:cs="Calibri"/>
          <w:i/>
          <w:iCs/>
          <w:color w:val="auto"/>
          <w:sz w:val="24"/>
          <w:szCs w:val="24"/>
        </w:rPr>
        <w:tab/>
      </w:r>
      <w:r>
        <w:rPr>
          <w:rFonts w:ascii="Times New Roman" w:hAnsi="Times New Roman" w:cs="Calibri"/>
          <w:i/>
          <w:iCs/>
          <w:color w:val="auto"/>
          <w:sz w:val="24"/>
          <w:szCs w:val="24"/>
        </w:rPr>
        <w:tab/>
      </w:r>
      <w:r w:rsidRPr="00746DC7">
        <w:rPr>
          <w:rFonts w:ascii="Times New Roman" w:hAnsi="Times New Roman" w:cs="Calibri"/>
          <w:i/>
          <w:iCs/>
          <w:color w:val="auto"/>
          <w:sz w:val="24"/>
          <w:szCs w:val="24"/>
        </w:rPr>
        <w:t>Финансовая сторона практически любого вопроса является основным направлением его развития, отсутствие достойного финансирования не позволит даже самому эффективному и востребованному направлению получить хоть какое-нибудь развитие. В этой связи представляется необходимым осуществлять привлечение всех возможных средств для формирования эффективной и результативной системы оказания бесплатной юридической помощи населению.</w:t>
      </w:r>
    </w:p>
    <w:p w:rsidR="008B2B8A" w:rsidRPr="00746DC7" w:rsidRDefault="00746DC7" w:rsidP="00746DC7">
      <w:pPr>
        <w:spacing w:line="240" w:lineRule="auto"/>
        <w:jc w:val="both"/>
        <w:rPr>
          <w:color w:val="auto"/>
        </w:rPr>
      </w:pPr>
      <w:r w:rsidRPr="00746DC7">
        <w:rPr>
          <w:rFonts w:ascii="Times New Roman" w:hAnsi="Times New Roman" w:cs="Calibri"/>
          <w:color w:val="auto"/>
          <w:sz w:val="24"/>
          <w:szCs w:val="24"/>
        </w:rPr>
        <w:tab/>
      </w:r>
      <w:r w:rsidRPr="00746DC7">
        <w:rPr>
          <w:rFonts w:ascii="Times New Roman" w:hAnsi="Times New Roman"/>
          <w:color w:val="auto"/>
          <w:sz w:val="24"/>
          <w:szCs w:val="24"/>
        </w:rPr>
        <w:t xml:space="preserve">Финансирование мероприятий, связанных с оказанием бесплатной юридической помощи в РФ в соответствии с </w:t>
      </w:r>
      <w:r w:rsidRPr="00746DC7">
        <w:rPr>
          <w:rStyle w:val="a4"/>
          <w:rFonts w:ascii="Times New Roman" w:hAnsi="Times New Roman"/>
          <w:b w:val="0"/>
          <w:bCs w:val="0"/>
          <w:color w:val="auto"/>
          <w:sz w:val="24"/>
          <w:szCs w:val="24"/>
        </w:rPr>
        <w:t>ФЗ "О бесплатной юридической помощи в РФ"</w:t>
      </w:r>
      <w:r w:rsidRPr="00746DC7">
        <w:rPr>
          <w:rFonts w:ascii="Times New Roman" w:hAnsi="Times New Roman"/>
          <w:color w:val="auto"/>
          <w:sz w:val="24"/>
          <w:szCs w:val="24"/>
        </w:rPr>
        <w:t xml:space="preserve"> и иными нормативными правовыми актами РФ, возлагается на органы государственной власти РФ и подведомственные им учреждения, органы государственной власти субъектов РФ и подведомственные им учреждения и осуществляется за счет бюджетных ассигнований из федерального бюджета и бюджетов субъектов РФ в соответствии с бюджетным законодательством РФ.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с компенсацией их расходов на оказание такой помощи, является расходным обязательством субъектов РФ.</w:t>
      </w:r>
      <w:r w:rsidRPr="00746DC7">
        <w:rPr>
          <w:rFonts w:ascii="Times New Roman" w:hAnsi="Times New Roman"/>
          <w:color w:val="auto"/>
          <w:sz w:val="24"/>
          <w:szCs w:val="24"/>
        </w:rPr>
        <w:tab/>
      </w:r>
      <w:r w:rsidRPr="00746DC7">
        <w:rPr>
          <w:rFonts w:ascii="Times New Roman" w:hAnsi="Times New Roman"/>
          <w:color w:val="auto"/>
          <w:sz w:val="24"/>
          <w:szCs w:val="24"/>
        </w:rPr>
        <w:tab/>
        <w:t>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является расходным обязательством местных бюджетов.</w:t>
      </w:r>
    </w:p>
    <w:p w:rsidR="008B2B8A" w:rsidRPr="00746DC7" w:rsidRDefault="00746DC7" w:rsidP="00746DC7">
      <w:pPr>
        <w:shd w:val="clear" w:color="auto" w:fill="FFFFFF"/>
        <w:spacing w:line="240" w:lineRule="auto"/>
        <w:ind w:firstLine="540"/>
        <w:jc w:val="both"/>
        <w:rPr>
          <w:rFonts w:ascii="Times New Roman" w:hAnsi="Times New Roman"/>
          <w:color w:val="auto"/>
          <w:sz w:val="24"/>
          <w:szCs w:val="24"/>
        </w:rPr>
      </w:pPr>
      <w:r w:rsidRPr="00746DC7">
        <w:rPr>
          <w:rFonts w:ascii="Times New Roman" w:hAnsi="Times New Roman"/>
          <w:color w:val="auto"/>
          <w:sz w:val="24"/>
          <w:szCs w:val="24"/>
        </w:rPr>
        <w:tab/>
      </w:r>
      <w:r w:rsidRPr="00746DC7">
        <w:rPr>
          <w:rFonts w:ascii="Times New Roman" w:hAnsi="Times New Roman"/>
          <w:b/>
          <w:bCs/>
          <w:color w:val="auto"/>
          <w:sz w:val="24"/>
          <w:szCs w:val="24"/>
        </w:rPr>
        <w:t>Дополнительно!</w:t>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color w:val="auto"/>
          <w:sz w:val="24"/>
          <w:szCs w:val="24"/>
        </w:rPr>
        <w:tab/>
      </w:r>
      <w:r w:rsidRPr="00746DC7">
        <w:rPr>
          <w:rFonts w:ascii="Times New Roman" w:hAnsi="Times New Roman"/>
          <w:i/>
          <w:iCs/>
          <w:color w:val="auto"/>
          <w:sz w:val="24"/>
          <w:szCs w:val="24"/>
        </w:rPr>
        <w:t xml:space="preserve">Анализируя зарубежное законодательство, сложившееся по данному вопросу, можно сделать вывод о том, что юридическая помощь предоставляется бесплатно лицам, находящимся в тяжелом финансовом положении, и наиболее уязвимым слоям </w:t>
      </w:r>
      <w:r w:rsidRPr="00746DC7">
        <w:rPr>
          <w:rFonts w:ascii="Times New Roman" w:hAnsi="Times New Roman"/>
          <w:i/>
          <w:iCs/>
          <w:color w:val="auto"/>
          <w:sz w:val="24"/>
          <w:szCs w:val="24"/>
        </w:rPr>
        <w:lastRenderedPageBreak/>
        <w:t>населения. Каждое государство самостоятельно устанавливает критерии, по которым определяется наличие права на бесплатную юридическую помощь.</w:t>
      </w:r>
    </w:p>
    <w:p w:rsidR="008B2B8A" w:rsidRPr="00746DC7" w:rsidRDefault="008B2B8A" w:rsidP="00746DC7">
      <w:pPr>
        <w:shd w:val="clear" w:color="auto" w:fill="FFFFFF"/>
        <w:spacing w:line="240" w:lineRule="auto"/>
        <w:ind w:firstLine="540"/>
        <w:jc w:val="both"/>
        <w:rPr>
          <w:rFonts w:ascii="Times New Roman" w:hAnsi="Times New Roman"/>
          <w:color w:val="auto"/>
          <w:sz w:val="24"/>
          <w:szCs w:val="24"/>
        </w:rPr>
      </w:pPr>
    </w:p>
    <w:sectPr w:rsidR="008B2B8A" w:rsidRPr="00746DC7" w:rsidSect="008B2B8A">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0D8B"/>
    <w:multiLevelType w:val="hybridMultilevel"/>
    <w:tmpl w:val="5FB4F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F3552B6"/>
    <w:multiLevelType w:val="hybridMultilevel"/>
    <w:tmpl w:val="978C49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EA16A87"/>
    <w:multiLevelType w:val="hybridMultilevel"/>
    <w:tmpl w:val="2CF04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0E809A8"/>
    <w:multiLevelType w:val="hybridMultilevel"/>
    <w:tmpl w:val="38FEB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2B8A"/>
    <w:rsid w:val="002A644B"/>
    <w:rsid w:val="003A2B9D"/>
    <w:rsid w:val="003A701C"/>
    <w:rsid w:val="003F3771"/>
    <w:rsid w:val="00473667"/>
    <w:rsid w:val="00532659"/>
    <w:rsid w:val="00627F28"/>
    <w:rsid w:val="00746DC7"/>
    <w:rsid w:val="008B2B8A"/>
    <w:rsid w:val="009A2664"/>
    <w:rsid w:val="00DF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20180-D5AE-46B7-86D0-8A720CD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B752E3"/>
    <w:rPr>
      <w:rFonts w:ascii="OpenSymbol" w:eastAsia="OpenSymbol" w:hAnsi="OpenSymbol" w:cs="OpenSymbol"/>
    </w:rPr>
  </w:style>
  <w:style w:type="character" w:customStyle="1" w:styleId="ListLabel1">
    <w:name w:val="ListLabel 1"/>
    <w:qFormat/>
    <w:rsid w:val="00B752E3"/>
    <w:rPr>
      <w:rFonts w:ascii="Times New Roman" w:hAnsi="Times New Roman" w:cs="OpenSymbol"/>
      <w:sz w:val="24"/>
    </w:rPr>
  </w:style>
  <w:style w:type="character" w:customStyle="1" w:styleId="ListLabel2">
    <w:name w:val="ListLabel 2"/>
    <w:qFormat/>
    <w:rsid w:val="00B752E3"/>
    <w:rPr>
      <w:rFonts w:cs="OpenSymbol"/>
    </w:rPr>
  </w:style>
  <w:style w:type="character" w:customStyle="1" w:styleId="ListLabel3">
    <w:name w:val="ListLabel 3"/>
    <w:qFormat/>
    <w:rsid w:val="00B752E3"/>
    <w:rPr>
      <w:rFonts w:cs="OpenSymbol"/>
    </w:rPr>
  </w:style>
  <w:style w:type="character" w:customStyle="1" w:styleId="ListLabel4">
    <w:name w:val="ListLabel 4"/>
    <w:qFormat/>
    <w:rsid w:val="00B752E3"/>
    <w:rPr>
      <w:rFonts w:cs="OpenSymbol"/>
    </w:rPr>
  </w:style>
  <w:style w:type="character" w:customStyle="1" w:styleId="ListLabel5">
    <w:name w:val="ListLabel 5"/>
    <w:qFormat/>
    <w:rsid w:val="00B752E3"/>
    <w:rPr>
      <w:rFonts w:cs="OpenSymbol"/>
    </w:rPr>
  </w:style>
  <w:style w:type="character" w:customStyle="1" w:styleId="ListLabel6">
    <w:name w:val="ListLabel 6"/>
    <w:qFormat/>
    <w:rsid w:val="00B752E3"/>
    <w:rPr>
      <w:rFonts w:cs="OpenSymbol"/>
    </w:rPr>
  </w:style>
  <w:style w:type="character" w:customStyle="1" w:styleId="ListLabel7">
    <w:name w:val="ListLabel 7"/>
    <w:qFormat/>
    <w:rsid w:val="00B752E3"/>
    <w:rPr>
      <w:rFonts w:cs="OpenSymbol"/>
    </w:rPr>
  </w:style>
  <w:style w:type="character" w:customStyle="1" w:styleId="ListLabel8">
    <w:name w:val="ListLabel 8"/>
    <w:qFormat/>
    <w:rsid w:val="00B752E3"/>
    <w:rPr>
      <w:rFonts w:cs="OpenSymbol"/>
    </w:rPr>
  </w:style>
  <w:style w:type="character" w:customStyle="1" w:styleId="ListLabel9">
    <w:name w:val="ListLabel 9"/>
    <w:qFormat/>
    <w:rsid w:val="00B752E3"/>
    <w:rPr>
      <w:rFonts w:cs="OpenSymbol"/>
    </w:rPr>
  </w:style>
  <w:style w:type="character" w:styleId="a4">
    <w:name w:val="Strong"/>
    <w:basedOn w:val="a0"/>
    <w:qFormat/>
    <w:rsid w:val="00B752E3"/>
    <w:rPr>
      <w:b/>
      <w:bCs/>
    </w:rPr>
  </w:style>
  <w:style w:type="character" w:customStyle="1" w:styleId="ListLabel10">
    <w:name w:val="ListLabel 10"/>
    <w:qFormat/>
    <w:rsid w:val="00B752E3"/>
    <w:rPr>
      <w:rFonts w:ascii="Times New Roman" w:hAnsi="Times New Roman" w:cs="OpenSymbol"/>
      <w:sz w:val="24"/>
    </w:rPr>
  </w:style>
  <w:style w:type="character" w:customStyle="1" w:styleId="ListLabel11">
    <w:name w:val="ListLabel 11"/>
    <w:qFormat/>
    <w:rsid w:val="00B752E3"/>
    <w:rPr>
      <w:rFonts w:cs="OpenSymbol"/>
    </w:rPr>
  </w:style>
  <w:style w:type="character" w:customStyle="1" w:styleId="ListLabel12">
    <w:name w:val="ListLabel 12"/>
    <w:qFormat/>
    <w:rsid w:val="00B752E3"/>
    <w:rPr>
      <w:rFonts w:cs="OpenSymbol"/>
    </w:rPr>
  </w:style>
  <w:style w:type="character" w:customStyle="1" w:styleId="ListLabel13">
    <w:name w:val="ListLabel 13"/>
    <w:qFormat/>
    <w:rsid w:val="00B752E3"/>
    <w:rPr>
      <w:rFonts w:cs="OpenSymbol"/>
    </w:rPr>
  </w:style>
  <w:style w:type="character" w:customStyle="1" w:styleId="ListLabel14">
    <w:name w:val="ListLabel 14"/>
    <w:qFormat/>
    <w:rsid w:val="00B752E3"/>
    <w:rPr>
      <w:rFonts w:cs="OpenSymbol"/>
    </w:rPr>
  </w:style>
  <w:style w:type="character" w:customStyle="1" w:styleId="ListLabel15">
    <w:name w:val="ListLabel 15"/>
    <w:qFormat/>
    <w:rsid w:val="00B752E3"/>
    <w:rPr>
      <w:rFonts w:cs="OpenSymbol"/>
    </w:rPr>
  </w:style>
  <w:style w:type="character" w:customStyle="1" w:styleId="ListLabel16">
    <w:name w:val="ListLabel 16"/>
    <w:qFormat/>
    <w:rsid w:val="00B752E3"/>
    <w:rPr>
      <w:rFonts w:cs="OpenSymbol"/>
    </w:rPr>
  </w:style>
  <w:style w:type="character" w:customStyle="1" w:styleId="ListLabel17">
    <w:name w:val="ListLabel 17"/>
    <w:qFormat/>
    <w:rsid w:val="00B752E3"/>
    <w:rPr>
      <w:rFonts w:cs="OpenSymbol"/>
    </w:rPr>
  </w:style>
  <w:style w:type="character" w:customStyle="1" w:styleId="ListLabel18">
    <w:name w:val="ListLabel 18"/>
    <w:qFormat/>
    <w:rsid w:val="00B752E3"/>
    <w:rPr>
      <w:rFonts w:cs="OpenSymbol"/>
    </w:rPr>
  </w:style>
  <w:style w:type="character" w:customStyle="1" w:styleId="ListLabel19">
    <w:name w:val="ListLabel 19"/>
    <w:qFormat/>
    <w:rsid w:val="00B752E3"/>
    <w:rPr>
      <w:rFonts w:ascii="Times New Roman" w:hAnsi="Times New Roman" w:cs="OpenSymbol"/>
      <w:sz w:val="24"/>
    </w:rPr>
  </w:style>
  <w:style w:type="character" w:customStyle="1" w:styleId="ListLabel20">
    <w:name w:val="ListLabel 20"/>
    <w:qFormat/>
    <w:rsid w:val="00B752E3"/>
    <w:rPr>
      <w:rFonts w:cs="OpenSymbol"/>
    </w:rPr>
  </w:style>
  <w:style w:type="character" w:customStyle="1" w:styleId="ListLabel21">
    <w:name w:val="ListLabel 21"/>
    <w:qFormat/>
    <w:rsid w:val="00B752E3"/>
    <w:rPr>
      <w:rFonts w:cs="OpenSymbol"/>
    </w:rPr>
  </w:style>
  <w:style w:type="character" w:customStyle="1" w:styleId="ListLabel22">
    <w:name w:val="ListLabel 22"/>
    <w:qFormat/>
    <w:rsid w:val="00B752E3"/>
    <w:rPr>
      <w:rFonts w:cs="OpenSymbol"/>
    </w:rPr>
  </w:style>
  <w:style w:type="character" w:customStyle="1" w:styleId="ListLabel23">
    <w:name w:val="ListLabel 23"/>
    <w:qFormat/>
    <w:rsid w:val="00B752E3"/>
    <w:rPr>
      <w:rFonts w:cs="OpenSymbol"/>
    </w:rPr>
  </w:style>
  <w:style w:type="character" w:customStyle="1" w:styleId="ListLabel24">
    <w:name w:val="ListLabel 24"/>
    <w:qFormat/>
    <w:rsid w:val="00B752E3"/>
    <w:rPr>
      <w:rFonts w:cs="OpenSymbol"/>
    </w:rPr>
  </w:style>
  <w:style w:type="character" w:customStyle="1" w:styleId="ListLabel25">
    <w:name w:val="ListLabel 25"/>
    <w:qFormat/>
    <w:rsid w:val="00B752E3"/>
    <w:rPr>
      <w:rFonts w:cs="OpenSymbol"/>
    </w:rPr>
  </w:style>
  <w:style w:type="character" w:customStyle="1" w:styleId="ListLabel26">
    <w:name w:val="ListLabel 26"/>
    <w:qFormat/>
    <w:rsid w:val="00B752E3"/>
    <w:rPr>
      <w:rFonts w:cs="OpenSymbol"/>
    </w:rPr>
  </w:style>
  <w:style w:type="character" w:customStyle="1" w:styleId="ListLabel27">
    <w:name w:val="ListLabel 27"/>
    <w:qFormat/>
    <w:rsid w:val="00B752E3"/>
    <w:rPr>
      <w:rFonts w:cs="OpenSymbol"/>
    </w:rPr>
  </w:style>
  <w:style w:type="character" w:customStyle="1" w:styleId="ListLabel28">
    <w:name w:val="ListLabel 28"/>
    <w:qFormat/>
    <w:rsid w:val="00B752E3"/>
    <w:rPr>
      <w:rFonts w:ascii="Times New Roman" w:hAnsi="Times New Roman" w:cs="OpenSymbol"/>
      <w:sz w:val="24"/>
    </w:rPr>
  </w:style>
  <w:style w:type="character" w:customStyle="1" w:styleId="ListLabel29">
    <w:name w:val="ListLabel 29"/>
    <w:qFormat/>
    <w:rsid w:val="00B752E3"/>
    <w:rPr>
      <w:rFonts w:cs="OpenSymbol"/>
    </w:rPr>
  </w:style>
  <w:style w:type="character" w:customStyle="1" w:styleId="ListLabel30">
    <w:name w:val="ListLabel 30"/>
    <w:qFormat/>
    <w:rsid w:val="00B752E3"/>
    <w:rPr>
      <w:rFonts w:cs="OpenSymbol"/>
    </w:rPr>
  </w:style>
  <w:style w:type="character" w:customStyle="1" w:styleId="ListLabel31">
    <w:name w:val="ListLabel 31"/>
    <w:qFormat/>
    <w:rsid w:val="00B752E3"/>
    <w:rPr>
      <w:rFonts w:cs="OpenSymbol"/>
    </w:rPr>
  </w:style>
  <w:style w:type="character" w:customStyle="1" w:styleId="ListLabel32">
    <w:name w:val="ListLabel 32"/>
    <w:qFormat/>
    <w:rsid w:val="00B752E3"/>
    <w:rPr>
      <w:rFonts w:cs="OpenSymbol"/>
    </w:rPr>
  </w:style>
  <w:style w:type="character" w:customStyle="1" w:styleId="ListLabel33">
    <w:name w:val="ListLabel 33"/>
    <w:qFormat/>
    <w:rsid w:val="00B752E3"/>
    <w:rPr>
      <w:rFonts w:cs="OpenSymbol"/>
    </w:rPr>
  </w:style>
  <w:style w:type="character" w:customStyle="1" w:styleId="ListLabel34">
    <w:name w:val="ListLabel 34"/>
    <w:qFormat/>
    <w:rsid w:val="00B752E3"/>
    <w:rPr>
      <w:rFonts w:cs="OpenSymbol"/>
    </w:rPr>
  </w:style>
  <w:style w:type="character" w:customStyle="1" w:styleId="ListLabel35">
    <w:name w:val="ListLabel 35"/>
    <w:qFormat/>
    <w:rsid w:val="00B752E3"/>
    <w:rPr>
      <w:rFonts w:cs="OpenSymbol"/>
    </w:rPr>
  </w:style>
  <w:style w:type="character" w:customStyle="1" w:styleId="ListLabel36">
    <w:name w:val="ListLabel 36"/>
    <w:qFormat/>
    <w:rsid w:val="00B752E3"/>
    <w:rPr>
      <w:rFonts w:cs="OpenSymbol"/>
    </w:rPr>
  </w:style>
  <w:style w:type="character" w:customStyle="1" w:styleId="ListLabel37">
    <w:name w:val="ListLabel 37"/>
    <w:qFormat/>
    <w:rsid w:val="00B752E3"/>
    <w:rPr>
      <w:rFonts w:ascii="Times New Roman" w:hAnsi="Times New Roman" w:cs="OpenSymbol"/>
      <w:sz w:val="24"/>
    </w:rPr>
  </w:style>
  <w:style w:type="character" w:customStyle="1" w:styleId="ListLabel38">
    <w:name w:val="ListLabel 38"/>
    <w:qFormat/>
    <w:rsid w:val="00B752E3"/>
    <w:rPr>
      <w:rFonts w:cs="OpenSymbol"/>
    </w:rPr>
  </w:style>
  <w:style w:type="character" w:customStyle="1" w:styleId="ListLabel39">
    <w:name w:val="ListLabel 39"/>
    <w:qFormat/>
    <w:rsid w:val="00B752E3"/>
    <w:rPr>
      <w:rFonts w:cs="OpenSymbol"/>
    </w:rPr>
  </w:style>
  <w:style w:type="character" w:customStyle="1" w:styleId="ListLabel40">
    <w:name w:val="ListLabel 40"/>
    <w:qFormat/>
    <w:rsid w:val="00B752E3"/>
    <w:rPr>
      <w:rFonts w:cs="OpenSymbol"/>
    </w:rPr>
  </w:style>
  <w:style w:type="character" w:customStyle="1" w:styleId="ListLabel41">
    <w:name w:val="ListLabel 41"/>
    <w:qFormat/>
    <w:rsid w:val="00B752E3"/>
    <w:rPr>
      <w:rFonts w:cs="OpenSymbol"/>
    </w:rPr>
  </w:style>
  <w:style w:type="character" w:customStyle="1" w:styleId="ListLabel42">
    <w:name w:val="ListLabel 42"/>
    <w:qFormat/>
    <w:rsid w:val="00B752E3"/>
    <w:rPr>
      <w:rFonts w:cs="OpenSymbol"/>
    </w:rPr>
  </w:style>
  <w:style w:type="character" w:customStyle="1" w:styleId="ListLabel43">
    <w:name w:val="ListLabel 43"/>
    <w:qFormat/>
    <w:rsid w:val="00B752E3"/>
    <w:rPr>
      <w:rFonts w:cs="OpenSymbol"/>
    </w:rPr>
  </w:style>
  <w:style w:type="character" w:customStyle="1" w:styleId="ListLabel44">
    <w:name w:val="ListLabel 44"/>
    <w:qFormat/>
    <w:rsid w:val="00B752E3"/>
    <w:rPr>
      <w:rFonts w:cs="OpenSymbol"/>
    </w:rPr>
  </w:style>
  <w:style w:type="character" w:customStyle="1" w:styleId="ListLabel45">
    <w:name w:val="ListLabel 45"/>
    <w:qFormat/>
    <w:rsid w:val="00B752E3"/>
    <w:rPr>
      <w:rFonts w:cs="OpenSymbol"/>
    </w:rPr>
  </w:style>
  <w:style w:type="character" w:customStyle="1" w:styleId="ListLabel46">
    <w:name w:val="ListLabel 46"/>
    <w:qFormat/>
    <w:rsid w:val="00B752E3"/>
    <w:rPr>
      <w:rFonts w:ascii="Times New Roman" w:hAnsi="Times New Roman" w:cs="OpenSymbol"/>
      <w:sz w:val="24"/>
    </w:rPr>
  </w:style>
  <w:style w:type="character" w:customStyle="1" w:styleId="ListLabel47">
    <w:name w:val="ListLabel 47"/>
    <w:qFormat/>
    <w:rsid w:val="00B752E3"/>
    <w:rPr>
      <w:rFonts w:cs="OpenSymbol"/>
    </w:rPr>
  </w:style>
  <w:style w:type="character" w:customStyle="1" w:styleId="ListLabel48">
    <w:name w:val="ListLabel 48"/>
    <w:qFormat/>
    <w:rsid w:val="00B752E3"/>
    <w:rPr>
      <w:rFonts w:cs="OpenSymbol"/>
    </w:rPr>
  </w:style>
  <w:style w:type="character" w:customStyle="1" w:styleId="ListLabel49">
    <w:name w:val="ListLabel 49"/>
    <w:qFormat/>
    <w:rsid w:val="00B752E3"/>
    <w:rPr>
      <w:rFonts w:cs="OpenSymbol"/>
    </w:rPr>
  </w:style>
  <w:style w:type="character" w:customStyle="1" w:styleId="ListLabel50">
    <w:name w:val="ListLabel 50"/>
    <w:qFormat/>
    <w:rsid w:val="00B752E3"/>
    <w:rPr>
      <w:rFonts w:cs="OpenSymbol"/>
    </w:rPr>
  </w:style>
  <w:style w:type="character" w:customStyle="1" w:styleId="ListLabel51">
    <w:name w:val="ListLabel 51"/>
    <w:qFormat/>
    <w:rsid w:val="00B752E3"/>
    <w:rPr>
      <w:rFonts w:cs="OpenSymbol"/>
    </w:rPr>
  </w:style>
  <w:style w:type="character" w:customStyle="1" w:styleId="ListLabel52">
    <w:name w:val="ListLabel 52"/>
    <w:qFormat/>
    <w:rsid w:val="00B752E3"/>
    <w:rPr>
      <w:rFonts w:cs="OpenSymbol"/>
    </w:rPr>
  </w:style>
  <w:style w:type="character" w:customStyle="1" w:styleId="ListLabel53">
    <w:name w:val="ListLabel 53"/>
    <w:qFormat/>
    <w:rsid w:val="00B752E3"/>
    <w:rPr>
      <w:rFonts w:cs="OpenSymbol"/>
    </w:rPr>
  </w:style>
  <w:style w:type="character" w:customStyle="1" w:styleId="ListLabel54">
    <w:name w:val="ListLabel 54"/>
    <w:qFormat/>
    <w:rsid w:val="00B752E3"/>
    <w:rPr>
      <w:rFonts w:cs="OpenSymbol"/>
    </w:rPr>
  </w:style>
  <w:style w:type="character" w:customStyle="1" w:styleId="ListLabel55">
    <w:name w:val="ListLabel 55"/>
    <w:qFormat/>
    <w:rsid w:val="00B752E3"/>
    <w:rPr>
      <w:rFonts w:ascii="Times New Roman" w:hAnsi="Times New Roman" w:cs="OpenSymbol"/>
      <w:sz w:val="24"/>
    </w:rPr>
  </w:style>
  <w:style w:type="character" w:customStyle="1" w:styleId="ListLabel56">
    <w:name w:val="ListLabel 56"/>
    <w:qFormat/>
    <w:rsid w:val="00B752E3"/>
    <w:rPr>
      <w:rFonts w:cs="OpenSymbol"/>
    </w:rPr>
  </w:style>
  <w:style w:type="character" w:customStyle="1" w:styleId="ListLabel57">
    <w:name w:val="ListLabel 57"/>
    <w:qFormat/>
    <w:rsid w:val="00B752E3"/>
    <w:rPr>
      <w:rFonts w:cs="OpenSymbol"/>
    </w:rPr>
  </w:style>
  <w:style w:type="character" w:customStyle="1" w:styleId="ListLabel58">
    <w:name w:val="ListLabel 58"/>
    <w:qFormat/>
    <w:rsid w:val="00B752E3"/>
    <w:rPr>
      <w:rFonts w:cs="OpenSymbol"/>
    </w:rPr>
  </w:style>
  <w:style w:type="character" w:customStyle="1" w:styleId="ListLabel59">
    <w:name w:val="ListLabel 59"/>
    <w:qFormat/>
    <w:rsid w:val="00B752E3"/>
    <w:rPr>
      <w:rFonts w:cs="OpenSymbol"/>
    </w:rPr>
  </w:style>
  <w:style w:type="character" w:customStyle="1" w:styleId="ListLabel60">
    <w:name w:val="ListLabel 60"/>
    <w:qFormat/>
    <w:rsid w:val="00B752E3"/>
    <w:rPr>
      <w:rFonts w:cs="OpenSymbol"/>
    </w:rPr>
  </w:style>
  <w:style w:type="character" w:customStyle="1" w:styleId="ListLabel61">
    <w:name w:val="ListLabel 61"/>
    <w:qFormat/>
    <w:rsid w:val="00B752E3"/>
    <w:rPr>
      <w:rFonts w:cs="OpenSymbol"/>
    </w:rPr>
  </w:style>
  <w:style w:type="character" w:customStyle="1" w:styleId="ListLabel62">
    <w:name w:val="ListLabel 62"/>
    <w:qFormat/>
    <w:rsid w:val="00B752E3"/>
    <w:rPr>
      <w:rFonts w:cs="OpenSymbol"/>
    </w:rPr>
  </w:style>
  <w:style w:type="character" w:customStyle="1" w:styleId="ListLabel63">
    <w:name w:val="ListLabel 63"/>
    <w:qFormat/>
    <w:rsid w:val="00B752E3"/>
    <w:rPr>
      <w:rFonts w:cs="OpenSymbol"/>
    </w:rPr>
  </w:style>
  <w:style w:type="character" w:customStyle="1" w:styleId="ListLabel64">
    <w:name w:val="ListLabel 64"/>
    <w:qFormat/>
    <w:rsid w:val="00B752E3"/>
    <w:rPr>
      <w:rFonts w:ascii="Times New Roman" w:hAnsi="Times New Roman" w:cs="OpenSymbol"/>
      <w:sz w:val="24"/>
    </w:rPr>
  </w:style>
  <w:style w:type="character" w:customStyle="1" w:styleId="ListLabel65">
    <w:name w:val="ListLabel 65"/>
    <w:qFormat/>
    <w:rsid w:val="00B752E3"/>
    <w:rPr>
      <w:rFonts w:cs="OpenSymbol"/>
    </w:rPr>
  </w:style>
  <w:style w:type="character" w:customStyle="1" w:styleId="ListLabel66">
    <w:name w:val="ListLabel 66"/>
    <w:qFormat/>
    <w:rsid w:val="00B752E3"/>
    <w:rPr>
      <w:rFonts w:cs="OpenSymbol"/>
    </w:rPr>
  </w:style>
  <w:style w:type="character" w:customStyle="1" w:styleId="ListLabel67">
    <w:name w:val="ListLabel 67"/>
    <w:qFormat/>
    <w:rsid w:val="00B752E3"/>
    <w:rPr>
      <w:rFonts w:cs="OpenSymbol"/>
    </w:rPr>
  </w:style>
  <w:style w:type="character" w:customStyle="1" w:styleId="ListLabel68">
    <w:name w:val="ListLabel 68"/>
    <w:qFormat/>
    <w:rsid w:val="00B752E3"/>
    <w:rPr>
      <w:rFonts w:cs="OpenSymbol"/>
    </w:rPr>
  </w:style>
  <w:style w:type="character" w:customStyle="1" w:styleId="ListLabel69">
    <w:name w:val="ListLabel 69"/>
    <w:qFormat/>
    <w:rsid w:val="00B752E3"/>
    <w:rPr>
      <w:rFonts w:cs="OpenSymbol"/>
    </w:rPr>
  </w:style>
  <w:style w:type="character" w:customStyle="1" w:styleId="ListLabel70">
    <w:name w:val="ListLabel 70"/>
    <w:qFormat/>
    <w:rsid w:val="00B752E3"/>
    <w:rPr>
      <w:rFonts w:cs="OpenSymbol"/>
    </w:rPr>
  </w:style>
  <w:style w:type="character" w:customStyle="1" w:styleId="ListLabel71">
    <w:name w:val="ListLabel 71"/>
    <w:qFormat/>
    <w:rsid w:val="00B752E3"/>
    <w:rPr>
      <w:rFonts w:cs="OpenSymbol"/>
    </w:rPr>
  </w:style>
  <w:style w:type="character" w:customStyle="1" w:styleId="ListLabel72">
    <w:name w:val="ListLabel 72"/>
    <w:qFormat/>
    <w:rsid w:val="00B752E3"/>
    <w:rPr>
      <w:rFonts w:cs="OpenSymbol"/>
    </w:rPr>
  </w:style>
  <w:style w:type="character" w:customStyle="1" w:styleId="ListLabel73">
    <w:name w:val="ListLabel 73"/>
    <w:qFormat/>
    <w:rsid w:val="00B752E3"/>
    <w:rPr>
      <w:rFonts w:ascii="Times New Roman" w:hAnsi="Times New Roman" w:cs="OpenSymbol"/>
      <w:sz w:val="24"/>
    </w:rPr>
  </w:style>
  <w:style w:type="character" w:customStyle="1" w:styleId="ListLabel74">
    <w:name w:val="ListLabel 74"/>
    <w:qFormat/>
    <w:rsid w:val="00B752E3"/>
    <w:rPr>
      <w:rFonts w:cs="OpenSymbol"/>
    </w:rPr>
  </w:style>
  <w:style w:type="character" w:customStyle="1" w:styleId="ListLabel75">
    <w:name w:val="ListLabel 75"/>
    <w:qFormat/>
    <w:rsid w:val="00B752E3"/>
    <w:rPr>
      <w:rFonts w:cs="OpenSymbol"/>
    </w:rPr>
  </w:style>
  <w:style w:type="character" w:customStyle="1" w:styleId="ListLabel76">
    <w:name w:val="ListLabel 76"/>
    <w:qFormat/>
    <w:rsid w:val="00B752E3"/>
    <w:rPr>
      <w:rFonts w:cs="OpenSymbol"/>
    </w:rPr>
  </w:style>
  <w:style w:type="character" w:customStyle="1" w:styleId="ListLabel77">
    <w:name w:val="ListLabel 77"/>
    <w:qFormat/>
    <w:rsid w:val="00B752E3"/>
    <w:rPr>
      <w:rFonts w:cs="OpenSymbol"/>
    </w:rPr>
  </w:style>
  <w:style w:type="character" w:customStyle="1" w:styleId="ListLabel78">
    <w:name w:val="ListLabel 78"/>
    <w:qFormat/>
    <w:rsid w:val="00B752E3"/>
    <w:rPr>
      <w:rFonts w:cs="OpenSymbol"/>
    </w:rPr>
  </w:style>
  <w:style w:type="character" w:customStyle="1" w:styleId="ListLabel79">
    <w:name w:val="ListLabel 79"/>
    <w:qFormat/>
    <w:rsid w:val="00B752E3"/>
    <w:rPr>
      <w:rFonts w:cs="OpenSymbol"/>
    </w:rPr>
  </w:style>
  <w:style w:type="character" w:customStyle="1" w:styleId="ListLabel80">
    <w:name w:val="ListLabel 80"/>
    <w:qFormat/>
    <w:rsid w:val="00B752E3"/>
    <w:rPr>
      <w:rFonts w:cs="OpenSymbol"/>
    </w:rPr>
  </w:style>
  <w:style w:type="character" w:customStyle="1" w:styleId="ListLabel81">
    <w:name w:val="ListLabel 81"/>
    <w:qFormat/>
    <w:rsid w:val="00B752E3"/>
    <w:rPr>
      <w:rFonts w:cs="OpenSymbol"/>
    </w:rPr>
  </w:style>
  <w:style w:type="character" w:customStyle="1" w:styleId="ListLabel82">
    <w:name w:val="ListLabel 82"/>
    <w:qFormat/>
    <w:rsid w:val="00B752E3"/>
    <w:rPr>
      <w:rFonts w:ascii="Times New Roman" w:hAnsi="Times New Roman" w:cs="OpenSymbol"/>
      <w:sz w:val="24"/>
    </w:rPr>
  </w:style>
  <w:style w:type="character" w:customStyle="1" w:styleId="ListLabel83">
    <w:name w:val="ListLabel 83"/>
    <w:qFormat/>
    <w:rsid w:val="00B752E3"/>
    <w:rPr>
      <w:rFonts w:cs="OpenSymbol"/>
    </w:rPr>
  </w:style>
  <w:style w:type="character" w:customStyle="1" w:styleId="ListLabel84">
    <w:name w:val="ListLabel 84"/>
    <w:qFormat/>
    <w:rsid w:val="00B752E3"/>
    <w:rPr>
      <w:rFonts w:cs="OpenSymbol"/>
    </w:rPr>
  </w:style>
  <w:style w:type="character" w:customStyle="1" w:styleId="ListLabel85">
    <w:name w:val="ListLabel 85"/>
    <w:qFormat/>
    <w:rsid w:val="00B752E3"/>
    <w:rPr>
      <w:rFonts w:cs="OpenSymbol"/>
    </w:rPr>
  </w:style>
  <w:style w:type="character" w:customStyle="1" w:styleId="ListLabel86">
    <w:name w:val="ListLabel 86"/>
    <w:qFormat/>
    <w:rsid w:val="00B752E3"/>
    <w:rPr>
      <w:rFonts w:cs="OpenSymbol"/>
    </w:rPr>
  </w:style>
  <w:style w:type="character" w:customStyle="1" w:styleId="ListLabel87">
    <w:name w:val="ListLabel 87"/>
    <w:qFormat/>
    <w:rsid w:val="00B752E3"/>
    <w:rPr>
      <w:rFonts w:cs="OpenSymbol"/>
    </w:rPr>
  </w:style>
  <w:style w:type="character" w:customStyle="1" w:styleId="ListLabel88">
    <w:name w:val="ListLabel 88"/>
    <w:qFormat/>
    <w:rsid w:val="00B752E3"/>
    <w:rPr>
      <w:rFonts w:cs="OpenSymbol"/>
    </w:rPr>
  </w:style>
  <w:style w:type="character" w:customStyle="1" w:styleId="ListLabel89">
    <w:name w:val="ListLabel 89"/>
    <w:qFormat/>
    <w:rsid w:val="00B752E3"/>
    <w:rPr>
      <w:rFonts w:cs="OpenSymbol"/>
    </w:rPr>
  </w:style>
  <w:style w:type="character" w:customStyle="1" w:styleId="ListLabel90">
    <w:name w:val="ListLabel 90"/>
    <w:qFormat/>
    <w:rsid w:val="00B752E3"/>
    <w:rPr>
      <w:rFonts w:cs="OpenSymbol"/>
    </w:rPr>
  </w:style>
  <w:style w:type="character" w:customStyle="1" w:styleId="ListLabel91">
    <w:name w:val="ListLabel 91"/>
    <w:qFormat/>
    <w:rsid w:val="00B752E3"/>
    <w:rPr>
      <w:rFonts w:ascii="Times New Roman" w:hAnsi="Times New Roman" w:cs="OpenSymbol"/>
      <w:sz w:val="24"/>
    </w:rPr>
  </w:style>
  <w:style w:type="character" w:customStyle="1" w:styleId="ListLabel92">
    <w:name w:val="ListLabel 92"/>
    <w:qFormat/>
    <w:rsid w:val="00B752E3"/>
    <w:rPr>
      <w:rFonts w:cs="OpenSymbol"/>
    </w:rPr>
  </w:style>
  <w:style w:type="character" w:customStyle="1" w:styleId="ListLabel93">
    <w:name w:val="ListLabel 93"/>
    <w:qFormat/>
    <w:rsid w:val="00B752E3"/>
    <w:rPr>
      <w:rFonts w:cs="OpenSymbol"/>
    </w:rPr>
  </w:style>
  <w:style w:type="character" w:customStyle="1" w:styleId="ListLabel94">
    <w:name w:val="ListLabel 94"/>
    <w:qFormat/>
    <w:rsid w:val="00B752E3"/>
    <w:rPr>
      <w:rFonts w:cs="OpenSymbol"/>
    </w:rPr>
  </w:style>
  <w:style w:type="character" w:customStyle="1" w:styleId="ListLabel95">
    <w:name w:val="ListLabel 95"/>
    <w:qFormat/>
    <w:rsid w:val="00B752E3"/>
    <w:rPr>
      <w:rFonts w:cs="OpenSymbol"/>
    </w:rPr>
  </w:style>
  <w:style w:type="character" w:customStyle="1" w:styleId="ListLabel96">
    <w:name w:val="ListLabel 96"/>
    <w:qFormat/>
    <w:rsid w:val="00B752E3"/>
    <w:rPr>
      <w:rFonts w:cs="OpenSymbol"/>
    </w:rPr>
  </w:style>
  <w:style w:type="character" w:customStyle="1" w:styleId="ListLabel97">
    <w:name w:val="ListLabel 97"/>
    <w:qFormat/>
    <w:rsid w:val="00B752E3"/>
    <w:rPr>
      <w:rFonts w:cs="OpenSymbol"/>
    </w:rPr>
  </w:style>
  <w:style w:type="character" w:customStyle="1" w:styleId="ListLabel98">
    <w:name w:val="ListLabel 98"/>
    <w:qFormat/>
    <w:rsid w:val="00B752E3"/>
    <w:rPr>
      <w:rFonts w:cs="OpenSymbol"/>
    </w:rPr>
  </w:style>
  <w:style w:type="character" w:customStyle="1" w:styleId="ListLabel99">
    <w:name w:val="ListLabel 99"/>
    <w:qFormat/>
    <w:rsid w:val="00B752E3"/>
    <w:rPr>
      <w:rFonts w:cs="OpenSymbol"/>
    </w:rPr>
  </w:style>
  <w:style w:type="paragraph" w:customStyle="1" w:styleId="a5">
    <w:name w:val="Заголовок"/>
    <w:basedOn w:val="a"/>
    <w:next w:val="a6"/>
    <w:qFormat/>
    <w:rsid w:val="00B752E3"/>
    <w:pPr>
      <w:keepNext/>
      <w:spacing w:before="240" w:after="120"/>
    </w:pPr>
    <w:rPr>
      <w:rFonts w:ascii="Liberation Sans" w:eastAsia="Microsoft YaHei" w:hAnsi="Liberation Sans" w:cs="Mangal"/>
      <w:sz w:val="28"/>
      <w:szCs w:val="28"/>
    </w:rPr>
  </w:style>
  <w:style w:type="paragraph" w:styleId="a6">
    <w:name w:val="Body Text"/>
    <w:basedOn w:val="a"/>
    <w:rsid w:val="00B752E3"/>
    <w:pPr>
      <w:spacing w:after="140" w:line="288" w:lineRule="auto"/>
    </w:pPr>
  </w:style>
  <w:style w:type="paragraph" w:styleId="a7">
    <w:name w:val="List"/>
    <w:basedOn w:val="a6"/>
    <w:rsid w:val="00B752E3"/>
    <w:rPr>
      <w:rFonts w:cs="Mangal"/>
    </w:rPr>
  </w:style>
  <w:style w:type="paragraph" w:customStyle="1" w:styleId="1">
    <w:name w:val="Название объекта1"/>
    <w:basedOn w:val="a"/>
    <w:qFormat/>
    <w:rsid w:val="00B752E3"/>
    <w:pPr>
      <w:suppressLineNumbers/>
      <w:spacing w:before="120" w:after="120"/>
    </w:pPr>
    <w:rPr>
      <w:rFonts w:cs="Mangal"/>
      <w:i/>
      <w:iCs/>
      <w:sz w:val="24"/>
      <w:szCs w:val="24"/>
    </w:rPr>
  </w:style>
  <w:style w:type="paragraph" w:styleId="a8">
    <w:name w:val="index heading"/>
    <w:basedOn w:val="a"/>
    <w:qFormat/>
    <w:rsid w:val="00B752E3"/>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752E3"/>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B752E3"/>
    <w:pPr>
      <w:suppressAutoHyphens/>
    </w:pPr>
    <w:rPr>
      <w:rFonts w:ascii="Arial" w:eastAsia="Courier New" w:hAnsi="Arial" w:cs="Liberation Serif"/>
      <w:b/>
      <w:color w:val="000000"/>
      <w:sz w:val="16"/>
      <w:szCs w:val="24"/>
      <w:lang w:eastAsia="hi-IN"/>
    </w:rPr>
  </w:style>
  <w:style w:type="paragraph" w:customStyle="1" w:styleId="aa">
    <w:name w:val="Содержимое таблицы"/>
    <w:basedOn w:val="a"/>
    <w:qFormat/>
    <w:rsid w:val="00B752E3"/>
  </w:style>
  <w:style w:type="paragraph" w:customStyle="1" w:styleId="ab">
    <w:name w:val="Заголовок таблицы"/>
    <w:basedOn w:val="aa"/>
    <w:qFormat/>
    <w:rsid w:val="00B752E3"/>
  </w:style>
  <w:style w:type="character" w:styleId="ac">
    <w:name w:val="Hyperlink"/>
    <w:basedOn w:val="a0"/>
    <w:uiPriority w:val="99"/>
    <w:semiHidden/>
    <w:unhideWhenUsed/>
    <w:rsid w:val="003A2B9D"/>
    <w:rPr>
      <w:color w:val="0000FF"/>
      <w:u w:val="single"/>
    </w:rPr>
  </w:style>
  <w:style w:type="paragraph" w:styleId="ad">
    <w:name w:val="List Paragraph"/>
    <w:basedOn w:val="a"/>
    <w:uiPriority w:val="34"/>
    <w:qFormat/>
    <w:rsid w:val="003A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601">
      <w:bodyDiv w:val="1"/>
      <w:marLeft w:val="0"/>
      <w:marRight w:val="0"/>
      <w:marTop w:val="0"/>
      <w:marBottom w:val="0"/>
      <w:divBdr>
        <w:top w:val="none" w:sz="0" w:space="0" w:color="auto"/>
        <w:left w:val="none" w:sz="0" w:space="0" w:color="auto"/>
        <w:bottom w:val="none" w:sz="0" w:space="0" w:color="auto"/>
        <w:right w:val="none" w:sz="0" w:space="0" w:color="auto"/>
      </w:divBdr>
    </w:div>
    <w:div w:id="818498064">
      <w:bodyDiv w:val="1"/>
      <w:marLeft w:val="0"/>
      <w:marRight w:val="0"/>
      <w:marTop w:val="0"/>
      <w:marBottom w:val="0"/>
      <w:divBdr>
        <w:top w:val="none" w:sz="0" w:space="0" w:color="auto"/>
        <w:left w:val="none" w:sz="0" w:space="0" w:color="auto"/>
        <w:bottom w:val="none" w:sz="0" w:space="0" w:color="auto"/>
        <w:right w:val="none" w:sz="0" w:space="0" w:color="auto"/>
      </w:divBdr>
      <w:divsChild>
        <w:div w:id="1313367856">
          <w:marLeft w:val="0"/>
          <w:marRight w:val="0"/>
          <w:marTop w:val="121"/>
          <w:marBottom w:val="0"/>
          <w:divBdr>
            <w:top w:val="none" w:sz="0" w:space="0" w:color="auto"/>
            <w:left w:val="none" w:sz="0" w:space="0" w:color="auto"/>
            <w:bottom w:val="none" w:sz="0" w:space="0" w:color="auto"/>
            <w:right w:val="none" w:sz="0" w:space="0" w:color="auto"/>
          </w:divBdr>
        </w:div>
        <w:div w:id="945112755">
          <w:marLeft w:val="0"/>
          <w:marRight w:val="0"/>
          <w:marTop w:val="121"/>
          <w:marBottom w:val="0"/>
          <w:divBdr>
            <w:top w:val="none" w:sz="0" w:space="0" w:color="auto"/>
            <w:left w:val="none" w:sz="0" w:space="0" w:color="auto"/>
            <w:bottom w:val="none" w:sz="0" w:space="0" w:color="auto"/>
            <w:right w:val="none" w:sz="0" w:space="0" w:color="auto"/>
          </w:divBdr>
        </w:div>
        <w:div w:id="1801217030">
          <w:marLeft w:val="0"/>
          <w:marRight w:val="0"/>
          <w:marTop w:val="121"/>
          <w:marBottom w:val="0"/>
          <w:divBdr>
            <w:top w:val="none" w:sz="0" w:space="0" w:color="auto"/>
            <w:left w:val="none" w:sz="0" w:space="0" w:color="auto"/>
            <w:bottom w:val="none" w:sz="0" w:space="0" w:color="auto"/>
            <w:right w:val="none" w:sz="0" w:space="0" w:color="auto"/>
          </w:divBdr>
        </w:div>
        <w:div w:id="1706371893">
          <w:marLeft w:val="0"/>
          <w:marRight w:val="0"/>
          <w:marTop w:val="121"/>
          <w:marBottom w:val="0"/>
          <w:divBdr>
            <w:top w:val="none" w:sz="0" w:space="0" w:color="auto"/>
            <w:left w:val="none" w:sz="0" w:space="0" w:color="auto"/>
            <w:bottom w:val="none" w:sz="0" w:space="0" w:color="auto"/>
            <w:right w:val="none" w:sz="0" w:space="0" w:color="auto"/>
          </w:divBdr>
        </w:div>
        <w:div w:id="412550442">
          <w:marLeft w:val="0"/>
          <w:marRight w:val="0"/>
          <w:marTop w:val="121"/>
          <w:marBottom w:val="0"/>
          <w:divBdr>
            <w:top w:val="none" w:sz="0" w:space="0" w:color="auto"/>
            <w:left w:val="none" w:sz="0" w:space="0" w:color="auto"/>
            <w:bottom w:val="none" w:sz="0" w:space="0" w:color="auto"/>
            <w:right w:val="none" w:sz="0" w:space="0" w:color="auto"/>
          </w:divBdr>
        </w:div>
      </w:divsChild>
    </w:div>
    <w:div w:id="1305886242">
      <w:bodyDiv w:val="1"/>
      <w:marLeft w:val="0"/>
      <w:marRight w:val="0"/>
      <w:marTop w:val="0"/>
      <w:marBottom w:val="0"/>
      <w:divBdr>
        <w:top w:val="none" w:sz="0" w:space="0" w:color="auto"/>
        <w:left w:val="none" w:sz="0" w:space="0" w:color="auto"/>
        <w:bottom w:val="none" w:sz="0" w:space="0" w:color="auto"/>
        <w:right w:val="none" w:sz="0" w:space="0" w:color="auto"/>
      </w:divBdr>
      <w:divsChild>
        <w:div w:id="1520657498">
          <w:marLeft w:val="0"/>
          <w:marRight w:val="0"/>
          <w:marTop w:val="121"/>
          <w:marBottom w:val="0"/>
          <w:divBdr>
            <w:top w:val="none" w:sz="0" w:space="0" w:color="auto"/>
            <w:left w:val="none" w:sz="0" w:space="0" w:color="auto"/>
            <w:bottom w:val="none" w:sz="0" w:space="0" w:color="auto"/>
            <w:right w:val="none" w:sz="0" w:space="0" w:color="auto"/>
          </w:divBdr>
        </w:div>
        <w:div w:id="1834450335">
          <w:marLeft w:val="0"/>
          <w:marRight w:val="0"/>
          <w:marTop w:val="121"/>
          <w:marBottom w:val="0"/>
          <w:divBdr>
            <w:top w:val="none" w:sz="0" w:space="0" w:color="auto"/>
            <w:left w:val="none" w:sz="0" w:space="0" w:color="auto"/>
            <w:bottom w:val="none" w:sz="0" w:space="0" w:color="auto"/>
            <w:right w:val="none" w:sz="0" w:space="0" w:color="auto"/>
          </w:divBdr>
        </w:div>
        <w:div w:id="1572303868">
          <w:marLeft w:val="0"/>
          <w:marRight w:val="0"/>
          <w:marTop w:val="121"/>
          <w:marBottom w:val="0"/>
          <w:divBdr>
            <w:top w:val="none" w:sz="0" w:space="0" w:color="auto"/>
            <w:left w:val="none" w:sz="0" w:space="0" w:color="auto"/>
            <w:bottom w:val="none" w:sz="0" w:space="0" w:color="auto"/>
            <w:right w:val="none" w:sz="0" w:space="0" w:color="auto"/>
          </w:divBdr>
        </w:div>
        <w:div w:id="816842498">
          <w:marLeft w:val="0"/>
          <w:marRight w:val="0"/>
          <w:marTop w:val="121"/>
          <w:marBottom w:val="0"/>
          <w:divBdr>
            <w:top w:val="none" w:sz="0" w:space="0" w:color="auto"/>
            <w:left w:val="none" w:sz="0" w:space="0" w:color="auto"/>
            <w:bottom w:val="none" w:sz="0" w:space="0" w:color="auto"/>
            <w:right w:val="none" w:sz="0" w:space="0" w:color="auto"/>
          </w:divBdr>
        </w:div>
        <w:div w:id="1685280919">
          <w:marLeft w:val="0"/>
          <w:marRight w:val="0"/>
          <w:marTop w:val="121"/>
          <w:marBottom w:val="0"/>
          <w:divBdr>
            <w:top w:val="none" w:sz="0" w:space="0" w:color="auto"/>
            <w:left w:val="none" w:sz="0" w:space="0" w:color="auto"/>
            <w:bottom w:val="none" w:sz="0" w:space="0" w:color="auto"/>
            <w:right w:val="none" w:sz="0" w:space="0" w:color="auto"/>
          </w:divBdr>
        </w:div>
        <w:div w:id="1276131657">
          <w:marLeft w:val="0"/>
          <w:marRight w:val="0"/>
          <w:marTop w:val="121"/>
          <w:marBottom w:val="0"/>
          <w:divBdr>
            <w:top w:val="none" w:sz="0" w:space="0" w:color="auto"/>
            <w:left w:val="none" w:sz="0" w:space="0" w:color="auto"/>
            <w:bottom w:val="none" w:sz="0" w:space="0" w:color="auto"/>
            <w:right w:val="none" w:sz="0" w:space="0" w:color="auto"/>
          </w:divBdr>
        </w:div>
        <w:div w:id="860704081">
          <w:marLeft w:val="0"/>
          <w:marRight w:val="0"/>
          <w:marTop w:val="121"/>
          <w:marBottom w:val="0"/>
          <w:divBdr>
            <w:top w:val="none" w:sz="0" w:space="0" w:color="auto"/>
            <w:left w:val="none" w:sz="0" w:space="0" w:color="auto"/>
            <w:bottom w:val="none" w:sz="0" w:space="0" w:color="auto"/>
            <w:right w:val="none" w:sz="0" w:space="0" w:color="auto"/>
          </w:divBdr>
        </w:div>
        <w:div w:id="896012401">
          <w:marLeft w:val="0"/>
          <w:marRight w:val="0"/>
          <w:marTop w:val="121"/>
          <w:marBottom w:val="0"/>
          <w:divBdr>
            <w:top w:val="none" w:sz="0" w:space="0" w:color="auto"/>
            <w:left w:val="none" w:sz="0" w:space="0" w:color="auto"/>
            <w:bottom w:val="none" w:sz="0" w:space="0" w:color="auto"/>
            <w:right w:val="none" w:sz="0" w:space="0" w:color="auto"/>
          </w:divBdr>
        </w:div>
        <w:div w:id="1117916313">
          <w:marLeft w:val="0"/>
          <w:marRight w:val="0"/>
          <w:marTop w:val="121"/>
          <w:marBottom w:val="0"/>
          <w:divBdr>
            <w:top w:val="none" w:sz="0" w:space="0" w:color="auto"/>
            <w:left w:val="none" w:sz="0" w:space="0" w:color="auto"/>
            <w:bottom w:val="none" w:sz="0" w:space="0" w:color="auto"/>
            <w:right w:val="none" w:sz="0" w:space="0" w:color="auto"/>
          </w:divBdr>
        </w:div>
        <w:div w:id="1255163400">
          <w:marLeft w:val="0"/>
          <w:marRight w:val="0"/>
          <w:marTop w:val="121"/>
          <w:marBottom w:val="0"/>
          <w:divBdr>
            <w:top w:val="none" w:sz="0" w:space="0" w:color="auto"/>
            <w:left w:val="none" w:sz="0" w:space="0" w:color="auto"/>
            <w:bottom w:val="none" w:sz="0" w:space="0" w:color="auto"/>
            <w:right w:val="none" w:sz="0" w:space="0" w:color="auto"/>
          </w:divBdr>
        </w:div>
        <w:div w:id="1001589078">
          <w:marLeft w:val="0"/>
          <w:marRight w:val="0"/>
          <w:marTop w:val="121"/>
          <w:marBottom w:val="0"/>
          <w:divBdr>
            <w:top w:val="none" w:sz="0" w:space="0" w:color="auto"/>
            <w:left w:val="none" w:sz="0" w:space="0" w:color="auto"/>
            <w:bottom w:val="none" w:sz="0" w:space="0" w:color="auto"/>
            <w:right w:val="none" w:sz="0" w:space="0" w:color="auto"/>
          </w:divBdr>
        </w:div>
        <w:div w:id="589965339">
          <w:marLeft w:val="0"/>
          <w:marRight w:val="0"/>
          <w:marTop w:val="121"/>
          <w:marBottom w:val="0"/>
          <w:divBdr>
            <w:top w:val="none" w:sz="0" w:space="0" w:color="auto"/>
            <w:left w:val="none" w:sz="0" w:space="0" w:color="auto"/>
            <w:bottom w:val="none" w:sz="0" w:space="0" w:color="auto"/>
            <w:right w:val="none" w:sz="0" w:space="0" w:color="auto"/>
          </w:divBdr>
        </w:div>
        <w:div w:id="666174429">
          <w:marLeft w:val="0"/>
          <w:marRight w:val="0"/>
          <w:marTop w:val="121"/>
          <w:marBottom w:val="0"/>
          <w:divBdr>
            <w:top w:val="none" w:sz="0" w:space="0" w:color="auto"/>
            <w:left w:val="none" w:sz="0" w:space="0" w:color="auto"/>
            <w:bottom w:val="none" w:sz="0" w:space="0" w:color="auto"/>
            <w:right w:val="none" w:sz="0" w:space="0" w:color="auto"/>
          </w:divBdr>
        </w:div>
        <w:div w:id="1143736485">
          <w:marLeft w:val="0"/>
          <w:marRight w:val="0"/>
          <w:marTop w:val="121"/>
          <w:marBottom w:val="0"/>
          <w:divBdr>
            <w:top w:val="none" w:sz="0" w:space="0" w:color="auto"/>
            <w:left w:val="none" w:sz="0" w:space="0" w:color="auto"/>
            <w:bottom w:val="none" w:sz="0" w:space="0" w:color="auto"/>
            <w:right w:val="none" w:sz="0" w:space="0" w:color="auto"/>
          </w:divBdr>
        </w:div>
        <w:div w:id="846403775">
          <w:marLeft w:val="0"/>
          <w:marRight w:val="0"/>
          <w:marTop w:val="121"/>
          <w:marBottom w:val="0"/>
          <w:divBdr>
            <w:top w:val="none" w:sz="0" w:space="0" w:color="auto"/>
            <w:left w:val="none" w:sz="0" w:space="0" w:color="auto"/>
            <w:bottom w:val="none" w:sz="0" w:space="0" w:color="auto"/>
            <w:right w:val="none" w:sz="0" w:space="0" w:color="auto"/>
          </w:divBdr>
        </w:div>
        <w:div w:id="1677347782">
          <w:marLeft w:val="0"/>
          <w:marRight w:val="0"/>
          <w:marTop w:val="121"/>
          <w:marBottom w:val="0"/>
          <w:divBdr>
            <w:top w:val="none" w:sz="0" w:space="0" w:color="auto"/>
            <w:left w:val="none" w:sz="0" w:space="0" w:color="auto"/>
            <w:bottom w:val="none" w:sz="0" w:space="0" w:color="auto"/>
            <w:right w:val="none" w:sz="0" w:space="0" w:color="auto"/>
          </w:divBdr>
        </w:div>
        <w:div w:id="1998417474">
          <w:marLeft w:val="0"/>
          <w:marRight w:val="0"/>
          <w:marTop w:val="121"/>
          <w:marBottom w:val="0"/>
          <w:divBdr>
            <w:top w:val="none" w:sz="0" w:space="0" w:color="auto"/>
            <w:left w:val="none" w:sz="0" w:space="0" w:color="auto"/>
            <w:bottom w:val="none" w:sz="0" w:space="0" w:color="auto"/>
            <w:right w:val="none" w:sz="0" w:space="0" w:color="auto"/>
          </w:divBdr>
        </w:div>
        <w:div w:id="1970697696">
          <w:marLeft w:val="0"/>
          <w:marRight w:val="0"/>
          <w:marTop w:val="0"/>
          <w:marBottom w:val="0"/>
          <w:divBdr>
            <w:top w:val="none" w:sz="0" w:space="0" w:color="auto"/>
            <w:left w:val="none" w:sz="0" w:space="0" w:color="auto"/>
            <w:bottom w:val="none" w:sz="0" w:space="0" w:color="auto"/>
            <w:right w:val="none" w:sz="0" w:space="0" w:color="auto"/>
          </w:divBdr>
        </w:div>
      </w:divsChild>
    </w:div>
    <w:div w:id="1318656725">
      <w:bodyDiv w:val="1"/>
      <w:marLeft w:val="0"/>
      <w:marRight w:val="0"/>
      <w:marTop w:val="0"/>
      <w:marBottom w:val="0"/>
      <w:divBdr>
        <w:top w:val="none" w:sz="0" w:space="0" w:color="auto"/>
        <w:left w:val="none" w:sz="0" w:space="0" w:color="auto"/>
        <w:bottom w:val="none" w:sz="0" w:space="0" w:color="auto"/>
        <w:right w:val="none" w:sz="0" w:space="0" w:color="auto"/>
      </w:divBdr>
      <w:divsChild>
        <w:div w:id="468985390">
          <w:marLeft w:val="0"/>
          <w:marRight w:val="0"/>
          <w:marTop w:val="121"/>
          <w:marBottom w:val="0"/>
          <w:divBdr>
            <w:top w:val="none" w:sz="0" w:space="0" w:color="auto"/>
            <w:left w:val="none" w:sz="0" w:space="0" w:color="auto"/>
            <w:bottom w:val="none" w:sz="0" w:space="0" w:color="auto"/>
            <w:right w:val="none" w:sz="0" w:space="0" w:color="auto"/>
          </w:divBdr>
        </w:div>
      </w:divsChild>
    </w:div>
    <w:div w:id="200272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5</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120</cp:revision>
  <dcterms:created xsi:type="dcterms:W3CDTF">2014-03-25T18:57:00Z</dcterms:created>
  <dcterms:modified xsi:type="dcterms:W3CDTF">2022-07-09T05:08:00Z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