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56" w:rsidRPr="00182B30" w:rsidRDefault="00182B30" w:rsidP="00182B30">
      <w:pPr>
        <w:pStyle w:val="ConsPlusNormal"/>
        <w:shd w:val="clear" w:color="auto" w:fill="FFFFFF"/>
        <w:ind w:firstLine="540"/>
        <w:jc w:val="center"/>
        <w:rPr>
          <w:color w:val="auto"/>
        </w:rPr>
      </w:pPr>
      <w:r w:rsidRPr="00182B30">
        <w:rPr>
          <w:rStyle w:val="a4"/>
          <w:rFonts w:ascii="Times New Roman" w:hAnsi="Times New Roman"/>
          <w:color w:val="auto"/>
          <w:sz w:val="24"/>
        </w:rPr>
        <w:t>Порядок вручения за границей судебных или внесудебных документов по гражданским делам.</w:t>
      </w:r>
    </w:p>
    <w:p w:rsidR="00182B30" w:rsidRDefault="00182B30" w:rsidP="00182B30">
      <w:pPr>
        <w:pStyle w:val="ConsPlusNormal"/>
        <w:shd w:val="clear" w:color="auto" w:fill="FFFFFF"/>
        <w:ind w:firstLine="540"/>
        <w:jc w:val="both"/>
        <w:rPr>
          <w:rStyle w:val="a4"/>
          <w:rFonts w:ascii="Times New Roman" w:hAnsi="Times New Roman"/>
          <w:color w:val="auto"/>
          <w:sz w:val="24"/>
        </w:rPr>
      </w:pPr>
    </w:p>
    <w:p w:rsidR="00107656" w:rsidRPr="00182B30" w:rsidRDefault="00182B30" w:rsidP="00182B30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color w:val="auto"/>
          <w:sz w:val="24"/>
        </w:rPr>
      </w:pPr>
      <w:r w:rsidRPr="00182B30">
        <w:rPr>
          <w:rStyle w:val="a4"/>
          <w:rFonts w:ascii="Times New Roman" w:hAnsi="Times New Roman"/>
          <w:color w:val="auto"/>
          <w:sz w:val="24"/>
        </w:rPr>
        <w:t>Дополнительно!</w:t>
      </w:r>
    </w:p>
    <w:p w:rsidR="00107656" w:rsidRPr="00182B30" w:rsidRDefault="00182B30" w:rsidP="00182B30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color w:val="auto"/>
          <w:sz w:val="24"/>
        </w:rPr>
      </w:pP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 xml:space="preserve">В вопросах оказания правовой помощи особую роль играет Конвенция о вручении за границей судебных и внесудебных документов по гражданским или торговым </w:t>
      </w: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>делам, принятая в Гааге 15 ноября 1965 года. В ней участвуют 49 стран. РФ присоединилась к Конвенции 1 мая 2001 года.</w:t>
      </w:r>
    </w:p>
    <w:p w:rsidR="00107656" w:rsidRPr="00182B30" w:rsidRDefault="00107656" w:rsidP="00182B30">
      <w:pPr>
        <w:pStyle w:val="ConsPlusNormal"/>
        <w:shd w:val="clear" w:color="auto" w:fill="FFFFFF"/>
        <w:ind w:firstLine="540"/>
        <w:jc w:val="both"/>
        <w:rPr>
          <w:rStyle w:val="a4"/>
          <w:rFonts w:ascii="Times New Roman" w:hAnsi="Times New Roman"/>
          <w:color w:val="auto"/>
          <w:sz w:val="24"/>
        </w:rPr>
      </w:pP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Данный вопрос урегулирован нормами Конвенции о вручении за границей судебных и внесудебных документов по гражданским или торговым делам"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 xml:space="preserve"> (</w:t>
      </w:r>
      <w:proofErr w:type="gramStart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заключена</w:t>
      </w:r>
      <w:proofErr w:type="gramEnd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 xml:space="preserve"> в г. Гааге 15.11.1965).</w:t>
      </w: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Данная Конвенция применяется в гражданских или торговых делах во всех случаях, при которых судебный или внесудебный документ необходимо направить для передачи или вручения за границей.</w:t>
      </w: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Каждое Договаривающееся Государст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во назначает Центральный орган, на который возлагается обязанность принимать и рассматривать запросы о вручении документов, поступающие из других Договаривающихся Государств. Центральным органом РФ для этих целей назначено Министерство юстиции РФ.</w:t>
      </w:r>
    </w:p>
    <w:p w:rsidR="00107656" w:rsidRPr="00182B30" w:rsidRDefault="00107656" w:rsidP="00182B30">
      <w:pPr>
        <w:pStyle w:val="ConsPlusNormal"/>
        <w:shd w:val="clear" w:color="auto" w:fill="FFFFFF"/>
        <w:ind w:firstLine="540"/>
        <w:jc w:val="both"/>
        <w:rPr>
          <w:rStyle w:val="a4"/>
          <w:rFonts w:ascii="Times New Roman" w:hAnsi="Times New Roman"/>
          <w:b w:val="0"/>
          <w:bCs w:val="0"/>
          <w:color w:val="auto"/>
          <w:sz w:val="24"/>
        </w:rPr>
      </w:pPr>
    </w:p>
    <w:p w:rsidR="00107656" w:rsidRPr="00182B30" w:rsidRDefault="00182B30" w:rsidP="00182B30">
      <w:pPr>
        <w:pStyle w:val="ConsPlusNormal"/>
        <w:shd w:val="clear" w:color="auto" w:fill="FFFFFF"/>
        <w:ind w:firstLine="708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color w:val="auto"/>
          <w:sz w:val="24"/>
        </w:rPr>
        <w:t>Дополни</w:t>
      </w:r>
      <w:r w:rsidRPr="00182B30">
        <w:rPr>
          <w:rStyle w:val="a4"/>
          <w:rFonts w:ascii="Times New Roman" w:hAnsi="Times New Roman"/>
          <w:color w:val="auto"/>
          <w:sz w:val="24"/>
        </w:rPr>
        <w:t>тельно!</w:t>
      </w:r>
    </w:p>
    <w:p w:rsidR="00107656" w:rsidRPr="00182B30" w:rsidRDefault="00182B30" w:rsidP="00182B30">
      <w:pPr>
        <w:pStyle w:val="ConsPlusNormal"/>
        <w:shd w:val="clear" w:color="auto" w:fill="FFFFFF"/>
        <w:ind w:firstLine="708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>Как правило, центральным органом выступает министерство юстиции или министерство иностранных дел. В федеративных (крупных) государствах наряду с центральным органом могут быть назначены дополнительные компетентные органы (Канада, Великобритания, Шв</w:t>
      </w: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>ейцария, Пакистан). При этом отсутствие информации о таких органах не ведет к невозможности исполнения поручения. Достаточно знать наименование центрального органа запрашиваемого государства и его адрес, который в случае существования разветвленной системы</w:t>
      </w: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 xml:space="preserve"> исполняющих органов сам исполнит запрос либо направит его компетентному органу.</w:t>
      </w:r>
    </w:p>
    <w:p w:rsidR="00107656" w:rsidRPr="00182B30" w:rsidRDefault="00107656" w:rsidP="00182B30">
      <w:pPr>
        <w:pStyle w:val="ConsPlusNormal"/>
        <w:shd w:val="clear" w:color="auto" w:fill="FFFFFF"/>
        <w:ind w:firstLine="540"/>
        <w:jc w:val="both"/>
        <w:rPr>
          <w:rStyle w:val="a4"/>
          <w:rFonts w:ascii="Times New Roman" w:hAnsi="Times New Roman"/>
          <w:b w:val="0"/>
          <w:bCs w:val="0"/>
          <w:color w:val="auto"/>
          <w:sz w:val="24"/>
        </w:rPr>
      </w:pPr>
    </w:p>
    <w:p w:rsidR="00107656" w:rsidRPr="00182B30" w:rsidRDefault="00182B30" w:rsidP="00182B3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 w:rsidRPr="00182B30">
        <w:rPr>
          <w:rFonts w:ascii="Times New Roman" w:hAnsi="Times New Roman"/>
          <w:color w:val="auto"/>
          <w:sz w:val="24"/>
        </w:rPr>
        <w:tab/>
        <w:t>Орган или судебное должностное лицо, полномочное в соответствии с законодательством запрашивающего государства, направляет Центральному органу запрашиваемого государства зап</w:t>
      </w:r>
      <w:r w:rsidRPr="00182B30">
        <w:rPr>
          <w:rFonts w:ascii="Times New Roman" w:hAnsi="Times New Roman"/>
          <w:color w:val="auto"/>
          <w:sz w:val="24"/>
        </w:rPr>
        <w:t>рос, составленный в соответствии с образцом, прилагаемым к Конвенции, без необходимости легализации или выполнения других эквивалентных формальностей.</w:t>
      </w: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bookmarkStart w:id="0" w:name="Par29"/>
      <w:bookmarkEnd w:id="0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К запросу прилагается документ, подлежащий вручению, или его копия. Запрос и документ представляются в д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вух экземплярах.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>В качестве органов, компетентных согласно законодательству РФ обращаться с запросом о правовой помощи, выступают в рамках своих полномочий: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  <w:t xml:space="preserve">- федеральные суды (Конституционный Суд РФ; </w:t>
      </w:r>
      <w:proofErr w:type="gramStart"/>
      <w:r w:rsidRPr="00182B30">
        <w:rPr>
          <w:rFonts w:ascii="Times New Roman" w:hAnsi="Times New Roman"/>
          <w:color w:val="auto"/>
          <w:sz w:val="24"/>
        </w:rPr>
        <w:t>ВС</w:t>
      </w:r>
      <w:proofErr w:type="gramEnd"/>
      <w:r w:rsidRPr="00182B30">
        <w:rPr>
          <w:rFonts w:ascii="Times New Roman" w:hAnsi="Times New Roman"/>
          <w:color w:val="auto"/>
          <w:sz w:val="24"/>
        </w:rPr>
        <w:t xml:space="preserve"> РФ, верховные суды республик, краевые и об</w:t>
      </w:r>
      <w:r w:rsidRPr="00182B30">
        <w:rPr>
          <w:rFonts w:ascii="Times New Roman" w:hAnsi="Times New Roman"/>
          <w:color w:val="auto"/>
          <w:sz w:val="24"/>
        </w:rPr>
        <w:t xml:space="preserve">ластные суды, суды городов федерального значения, суды автономной области и автономных округов, районные суды, военные и специализированные суды, составляющие систему федеральных судов общей юрисдикции; </w:t>
      </w:r>
      <w:proofErr w:type="gramStart"/>
      <w:r w:rsidRPr="00182B30">
        <w:rPr>
          <w:rFonts w:ascii="Times New Roman" w:hAnsi="Times New Roman"/>
          <w:color w:val="auto"/>
          <w:sz w:val="24"/>
        </w:rPr>
        <w:t>федеральные арбитражные суды округов (арбитражные кас</w:t>
      </w:r>
      <w:r w:rsidRPr="00182B30">
        <w:rPr>
          <w:rFonts w:ascii="Times New Roman" w:hAnsi="Times New Roman"/>
          <w:color w:val="auto"/>
          <w:sz w:val="24"/>
        </w:rPr>
        <w:t>сационные суды), арбитражные апелляционные суды, арбитражные суды субъектов РФ, составляющие систему федеральных арбитражных судов), конституционные (уставные) суды и мировые судьи субъектов РФ;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>- федеральные органы исполнительной власти и орган</w:t>
      </w:r>
      <w:r w:rsidRPr="00182B30">
        <w:rPr>
          <w:rFonts w:ascii="Times New Roman" w:hAnsi="Times New Roman"/>
          <w:color w:val="auto"/>
          <w:sz w:val="24"/>
        </w:rPr>
        <w:t>ы исполнительной власти субъектов федерации;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  <w:t>- органы прокуратуры РФ;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  <w:t>- органы записи актов гражданского состояния;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  <w:t xml:space="preserve">- нотариусы и другие должностные лица, уполномоченные на осуществление </w:t>
      </w:r>
      <w:r w:rsidRPr="00182B30">
        <w:rPr>
          <w:rFonts w:ascii="Times New Roman" w:hAnsi="Times New Roman"/>
          <w:color w:val="auto"/>
          <w:sz w:val="24"/>
        </w:rPr>
        <w:lastRenderedPageBreak/>
        <w:t>нотариальных действий;</w:t>
      </w:r>
      <w:proofErr w:type="gramEnd"/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  <w:t>- органы оп</w:t>
      </w:r>
      <w:r w:rsidRPr="00182B30">
        <w:rPr>
          <w:rFonts w:ascii="Times New Roman" w:hAnsi="Times New Roman"/>
          <w:color w:val="auto"/>
          <w:sz w:val="24"/>
        </w:rPr>
        <w:t>еки и попечительства;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- адвокаты.</w:t>
      </w:r>
    </w:p>
    <w:p w:rsidR="00107656" w:rsidRPr="00182B30" w:rsidRDefault="00182B30" w:rsidP="00182B30">
      <w:pPr>
        <w:pStyle w:val="ConsPlusNormal"/>
        <w:shd w:val="clear" w:color="auto" w:fill="FFFFFF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Если Центральный орган считает, что запрос не соответствует требованиям Конвенции, он незамедлительно извещает об этом заявителя с подробным изложением своих замечаний к запросу.</w:t>
      </w:r>
    </w:p>
    <w:p w:rsidR="00107656" w:rsidRPr="00182B30" w:rsidRDefault="00107656" w:rsidP="00182B30">
      <w:pPr>
        <w:pStyle w:val="ConsPlusNormal"/>
        <w:shd w:val="clear" w:color="auto" w:fill="FFFFFF"/>
        <w:jc w:val="both"/>
        <w:rPr>
          <w:rStyle w:val="a4"/>
          <w:rFonts w:ascii="Times New Roman" w:hAnsi="Times New Roman"/>
          <w:b w:val="0"/>
          <w:bCs w:val="0"/>
          <w:color w:val="auto"/>
          <w:sz w:val="24"/>
        </w:rPr>
      </w:pPr>
    </w:p>
    <w:p w:rsidR="00107656" w:rsidRPr="00182B30" w:rsidRDefault="00182B30" w:rsidP="00182B30">
      <w:pPr>
        <w:pStyle w:val="ConsPlusNormal"/>
        <w:shd w:val="clear" w:color="auto" w:fill="FFFFFF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color w:val="auto"/>
          <w:sz w:val="24"/>
        </w:rPr>
        <w:t>Дополнительно!</w:t>
      </w:r>
    </w:p>
    <w:p w:rsidR="00107656" w:rsidRPr="00182B30" w:rsidRDefault="00182B30" w:rsidP="00182B30">
      <w:pPr>
        <w:pStyle w:val="ConsPlusNormal"/>
        <w:shd w:val="clear" w:color="auto" w:fill="FFFFFF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proofErr w:type="gramStart"/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 xml:space="preserve">Так, Швейцария </w:t>
      </w: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>заявила, что судебные поручения и любые сопровождающие документы могут быть на языке органа, у которого запрашивается исполнение, т.е. на немецком, французском или итальянском языках, или сопровождаться переводом на один из этих языков, в зависимости от то</w:t>
      </w: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>го, в какой части Швейцарии документ подлежит исполнению (официальный язык центрального органа кантона).</w:t>
      </w:r>
      <w:proofErr w:type="gramEnd"/>
    </w:p>
    <w:p w:rsidR="00107656" w:rsidRPr="00182B30" w:rsidRDefault="00182B30" w:rsidP="00182B30">
      <w:pPr>
        <w:pStyle w:val="ConsPlusNormal"/>
        <w:shd w:val="clear" w:color="auto" w:fill="FFFFFF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>Вместе с документом адресату передается его краткое содержание. Из него лицо, которому вручается документ, должно получить обобщенную информацию о суд</w:t>
      </w:r>
      <w:r w:rsidRPr="00182B30">
        <w:rPr>
          <w:rStyle w:val="a4"/>
          <w:rFonts w:ascii="Times New Roman" w:hAnsi="Times New Roman"/>
          <w:b w:val="0"/>
          <w:bCs w:val="0"/>
          <w:i/>
          <w:iCs/>
          <w:color w:val="auto"/>
          <w:sz w:val="24"/>
        </w:rPr>
        <w:t>ебном разбирательстве, исковых требованиях и о статусе адресата в процессе.</w:t>
      </w:r>
    </w:p>
    <w:p w:rsidR="00107656" w:rsidRPr="00182B30" w:rsidRDefault="00107656" w:rsidP="00182B30">
      <w:pPr>
        <w:pStyle w:val="ConsPlusNormal"/>
        <w:shd w:val="clear" w:color="auto" w:fill="FFFFFF"/>
        <w:jc w:val="both"/>
        <w:rPr>
          <w:rStyle w:val="a4"/>
          <w:rFonts w:ascii="Times New Roman" w:hAnsi="Times New Roman"/>
          <w:b w:val="0"/>
          <w:bCs w:val="0"/>
          <w:color w:val="auto"/>
          <w:sz w:val="24"/>
        </w:rPr>
      </w:pPr>
    </w:p>
    <w:p w:rsidR="00107656" w:rsidRPr="00182B30" w:rsidRDefault="00182B30" w:rsidP="00182B30">
      <w:pPr>
        <w:pStyle w:val="ConsPlusNormal"/>
        <w:ind w:firstLine="540"/>
        <w:jc w:val="both"/>
        <w:rPr>
          <w:color w:val="auto"/>
        </w:rPr>
      </w:pPr>
      <w:r w:rsidRPr="00182B30">
        <w:rPr>
          <w:rFonts w:ascii="Times New Roman" w:hAnsi="Times New Roman"/>
          <w:color w:val="auto"/>
          <w:sz w:val="24"/>
        </w:rPr>
        <w:tab/>
        <w:t>Центральный орган запрашиваемого государства вручает или доставляет документ самостоятельно или иным образом обеспечивает его вручение:</w:t>
      </w: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bookmarkStart w:id="1" w:name="Par38"/>
      <w:bookmarkEnd w:id="1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proofErr w:type="spellStart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a</w:t>
      </w:r>
      <w:proofErr w:type="spellEnd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) либо в порядке, предусмотренном законо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дательством этого государства для вручения или доставки совершенных в нем документов лицам, находящимся на его территории;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proofErr w:type="spellStart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b</w:t>
      </w:r>
      <w:proofErr w:type="spellEnd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) либо, по ходатайству заявителя, в особом порядке, если такой порядок не является несовместимым с законодательством запр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ашиваемого государства.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>Центральный орган запрашиваемого государства, или другой орган, который может быть назначен с этой целью, составляет подтверждение о вручении в форме свидетельства по образцу, прилагаемому к Конвенции.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  <w:t>В свидетельстве подтвер</w:t>
      </w:r>
      <w:r w:rsidRPr="00182B30">
        <w:rPr>
          <w:rFonts w:ascii="Times New Roman" w:hAnsi="Times New Roman"/>
          <w:color w:val="auto"/>
          <w:sz w:val="24"/>
        </w:rPr>
        <w:t>ждается, что документ вручен, и приводятся способ, место и дата вручения, а также указывается лицо, которому вручен документ. Если документ не был вручен, то в свидетельстве указываются воспрепятствовавшие этому причины.</w:t>
      </w:r>
      <w:r w:rsidRPr="00182B30">
        <w:rPr>
          <w:rFonts w:ascii="Times New Roman" w:hAnsi="Times New Roman"/>
          <w:color w:val="auto"/>
          <w:sz w:val="24"/>
        </w:rPr>
        <w:tab/>
        <w:t xml:space="preserve">Заявитель может потребовать, чтобы </w:t>
      </w:r>
      <w:r w:rsidRPr="00182B30">
        <w:rPr>
          <w:rFonts w:ascii="Times New Roman" w:hAnsi="Times New Roman"/>
          <w:color w:val="auto"/>
          <w:sz w:val="24"/>
        </w:rPr>
        <w:t>свидетельство, которое не составлено Центральным органом или судебным органом, было заверено одним из них.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Свидетельство направляется непосредственно заявителю.</w:t>
      </w:r>
    </w:p>
    <w:p w:rsidR="00107656" w:rsidRPr="00182B30" w:rsidRDefault="00182B30" w:rsidP="00182B30">
      <w:pPr>
        <w:pStyle w:val="ConsPlusNormal"/>
        <w:ind w:firstLine="540"/>
        <w:jc w:val="both"/>
        <w:rPr>
          <w:color w:val="auto"/>
        </w:rPr>
      </w:pPr>
      <w:r w:rsidRPr="00182B30">
        <w:rPr>
          <w:rFonts w:ascii="Times New Roman" w:hAnsi="Times New Roman"/>
          <w:color w:val="auto"/>
          <w:sz w:val="24"/>
        </w:rPr>
        <w:tab/>
        <w:t>Каждое Договаривающееся Государство вправе осуществлять с помощью своих дипломатических или ко</w:t>
      </w:r>
      <w:r w:rsidRPr="00182B30">
        <w:rPr>
          <w:rFonts w:ascii="Times New Roman" w:hAnsi="Times New Roman"/>
          <w:color w:val="auto"/>
          <w:sz w:val="24"/>
        </w:rPr>
        <w:t>нсульских агентов вручение, без применения мер принуждения, судебных документов лицам, находящимся за границей.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Любое государство может заявить о том, что оно не допускает такого порядка вручения на своей территории, за исключением случаев, при которых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 xml:space="preserve"> документ подлежит вручению гражданину запрашивающего государства.</w:t>
      </w:r>
    </w:p>
    <w:p w:rsidR="00107656" w:rsidRPr="00182B30" w:rsidRDefault="00182B30" w:rsidP="00182B30">
      <w:pPr>
        <w:pStyle w:val="ConsPlusNormal"/>
        <w:ind w:firstLine="540"/>
        <w:jc w:val="both"/>
        <w:rPr>
          <w:color w:val="auto"/>
        </w:rPr>
      </w:pPr>
      <w:r w:rsidRPr="00182B30">
        <w:rPr>
          <w:rFonts w:ascii="Times New Roman" w:hAnsi="Times New Roman"/>
          <w:color w:val="auto"/>
          <w:sz w:val="24"/>
        </w:rPr>
        <w:tab/>
        <w:t>Каждое Договаривающееся Государство вправе, кроме того, использовать консульские каналы для доставки предназначенных для вручения судебных документов органам другого Договаривающегося Госу</w:t>
      </w:r>
      <w:r w:rsidRPr="00182B30">
        <w:rPr>
          <w:rFonts w:ascii="Times New Roman" w:hAnsi="Times New Roman"/>
          <w:color w:val="auto"/>
          <w:sz w:val="24"/>
        </w:rPr>
        <w:t>дарства, которые были для этого назначены.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В исключительных обстоятельствах каждое Договаривающееся Государство может использовать в тех же целях дипломатические каналы.</w:t>
      </w:r>
    </w:p>
    <w:p w:rsidR="00107656" w:rsidRPr="00182B30" w:rsidRDefault="00182B30" w:rsidP="00182B30">
      <w:pPr>
        <w:pStyle w:val="ConsPlusNormal"/>
        <w:ind w:firstLine="540"/>
        <w:jc w:val="both"/>
        <w:rPr>
          <w:color w:val="auto"/>
        </w:rPr>
      </w:pPr>
      <w:r w:rsidRPr="00182B30">
        <w:rPr>
          <w:rFonts w:ascii="Times New Roman" w:hAnsi="Times New Roman"/>
          <w:color w:val="auto"/>
          <w:sz w:val="24"/>
        </w:rPr>
        <w:tab/>
      </w:r>
      <w:proofErr w:type="gramStart"/>
      <w:r w:rsidRPr="00182B30">
        <w:rPr>
          <w:rFonts w:ascii="Times New Roman" w:hAnsi="Times New Roman"/>
          <w:color w:val="auto"/>
          <w:sz w:val="24"/>
        </w:rPr>
        <w:t xml:space="preserve">Если запрашиваемое государство не заявляет возражений, настоящая Конвенция не </w:t>
      </w:r>
      <w:r w:rsidRPr="00182B30">
        <w:rPr>
          <w:rFonts w:ascii="Times New Roman" w:hAnsi="Times New Roman"/>
          <w:color w:val="auto"/>
          <w:sz w:val="24"/>
        </w:rPr>
        <w:t>препятствует: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proofErr w:type="spellStart"/>
      <w:r w:rsidRPr="00182B30">
        <w:rPr>
          <w:rFonts w:ascii="Times New Roman" w:hAnsi="Times New Roman"/>
          <w:color w:val="auto"/>
          <w:sz w:val="24"/>
        </w:rPr>
        <w:t>a</w:t>
      </w:r>
      <w:proofErr w:type="spellEnd"/>
      <w:r w:rsidRPr="00182B30">
        <w:rPr>
          <w:rFonts w:ascii="Times New Roman" w:hAnsi="Times New Roman"/>
          <w:color w:val="auto"/>
          <w:sz w:val="24"/>
        </w:rPr>
        <w:t>) возможности непосредственно посылать по почте судебные документы лицам, находящимся за границей;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proofErr w:type="spellStart"/>
      <w:r w:rsidRPr="00182B30">
        <w:rPr>
          <w:rFonts w:ascii="Times New Roman" w:hAnsi="Times New Roman"/>
          <w:color w:val="auto"/>
          <w:sz w:val="24"/>
        </w:rPr>
        <w:t>b</w:t>
      </w:r>
      <w:proofErr w:type="spellEnd"/>
      <w:r w:rsidRPr="00182B30">
        <w:rPr>
          <w:rFonts w:ascii="Times New Roman" w:hAnsi="Times New Roman"/>
          <w:color w:val="auto"/>
          <w:sz w:val="24"/>
        </w:rPr>
        <w:t>) возможности судебных и иных должностных лиц или других компетентных лиц запрашивающего государства осуществлять вручени</w:t>
      </w:r>
      <w:r w:rsidRPr="00182B30">
        <w:rPr>
          <w:rFonts w:ascii="Times New Roman" w:hAnsi="Times New Roman"/>
          <w:color w:val="auto"/>
          <w:sz w:val="24"/>
        </w:rPr>
        <w:t>е судебных документов, прибегая непосредственно к услугам судебных и иных должностных лиц или других компетентных лиц запрашиваемого государства;</w:t>
      </w:r>
      <w:proofErr w:type="gramEnd"/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lastRenderedPageBreak/>
        <w:tab/>
      </w:r>
      <w:proofErr w:type="spellStart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c</w:t>
      </w:r>
      <w:proofErr w:type="spellEnd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 xml:space="preserve">) возможности любого лица, участвующего в судебном разбирательстве, осуществлять вручение судебного 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документа, непосредственно прибегая к услугам судебных и иных должностных лиц или других компетентных лиц запрашиваемого государства.</w:t>
      </w:r>
    </w:p>
    <w:p w:rsidR="00107656" w:rsidRPr="00182B30" w:rsidRDefault="00182B30" w:rsidP="00182B3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 w:rsidRPr="00182B30">
        <w:rPr>
          <w:rFonts w:ascii="Times New Roman" w:hAnsi="Times New Roman"/>
          <w:color w:val="auto"/>
          <w:sz w:val="24"/>
        </w:rPr>
        <w:tab/>
        <w:t>Вручение судебных документов, поступающих из Договаривающегося Государства, не может служить поводом для взимания или воз</w:t>
      </w:r>
      <w:r w:rsidRPr="00182B30">
        <w:rPr>
          <w:rFonts w:ascii="Times New Roman" w:hAnsi="Times New Roman"/>
          <w:color w:val="auto"/>
          <w:sz w:val="24"/>
        </w:rPr>
        <w:t>мещения сборов или расходов в связи с услугами, предоставленными запрашиваемым государством.</w:t>
      </w:r>
    </w:p>
    <w:p w:rsidR="00107656" w:rsidRPr="00182B30" w:rsidRDefault="00182B30" w:rsidP="00182B30">
      <w:pPr>
        <w:pStyle w:val="ConsPlusNormal"/>
        <w:ind w:firstLine="540"/>
        <w:jc w:val="both"/>
        <w:rPr>
          <w:color w:val="auto"/>
        </w:rPr>
      </w:pPr>
      <w:bookmarkStart w:id="2" w:name="Par80"/>
      <w:bookmarkEnd w:id="2"/>
      <w:r w:rsidRPr="00182B30">
        <w:rPr>
          <w:rFonts w:ascii="Times New Roman" w:hAnsi="Times New Roman"/>
          <w:color w:val="auto"/>
          <w:sz w:val="24"/>
        </w:rPr>
        <w:tab/>
        <w:t>Заявитель оплачивает или возмещает расходы, вызванные:</w:t>
      </w:r>
      <w:bookmarkStart w:id="3" w:name="Par81"/>
      <w:bookmarkEnd w:id="3"/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proofErr w:type="spellStart"/>
      <w:r w:rsidRPr="00182B30">
        <w:rPr>
          <w:rFonts w:ascii="Times New Roman" w:hAnsi="Times New Roman"/>
          <w:color w:val="auto"/>
          <w:sz w:val="24"/>
        </w:rPr>
        <w:t>a</w:t>
      </w:r>
      <w:proofErr w:type="spellEnd"/>
      <w:r w:rsidRPr="00182B30">
        <w:rPr>
          <w:rFonts w:ascii="Times New Roman" w:hAnsi="Times New Roman"/>
          <w:color w:val="auto"/>
          <w:sz w:val="24"/>
        </w:rPr>
        <w:t>) участием судебного должностного лица или лица, полномочного по законодательству запрашиваемого госуда</w:t>
      </w:r>
      <w:r w:rsidRPr="00182B30">
        <w:rPr>
          <w:rFonts w:ascii="Times New Roman" w:hAnsi="Times New Roman"/>
          <w:color w:val="auto"/>
          <w:sz w:val="24"/>
        </w:rPr>
        <w:t>рства;</w:t>
      </w:r>
      <w:bookmarkStart w:id="4" w:name="Par82"/>
      <w:bookmarkEnd w:id="4"/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proofErr w:type="spellStart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b</w:t>
      </w:r>
      <w:proofErr w:type="spellEnd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) применением особого порядка вручения.</w:t>
      </w:r>
    </w:p>
    <w:p w:rsidR="00107656" w:rsidRPr="00182B30" w:rsidRDefault="00182B30" w:rsidP="00182B30">
      <w:pPr>
        <w:pStyle w:val="ConsPlusNormal"/>
        <w:ind w:firstLine="540"/>
        <w:jc w:val="both"/>
        <w:rPr>
          <w:color w:val="auto"/>
        </w:rPr>
      </w:pPr>
      <w:r w:rsidRPr="00182B30">
        <w:rPr>
          <w:rFonts w:ascii="Times New Roman" w:hAnsi="Times New Roman"/>
          <w:color w:val="auto"/>
          <w:sz w:val="24"/>
        </w:rPr>
        <w:tab/>
        <w:t>Если запрос о вручении соответствует положениям Конвенции, запрашиваемое государство может отказать в его исполнении только в том случае, если считает, что исполнение запроса может нанести ущерб его су</w:t>
      </w:r>
      <w:r w:rsidRPr="00182B30">
        <w:rPr>
          <w:rFonts w:ascii="Times New Roman" w:hAnsi="Times New Roman"/>
          <w:color w:val="auto"/>
          <w:sz w:val="24"/>
        </w:rPr>
        <w:t>веренитету или безопасности.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  <w:t xml:space="preserve">В исполнении не может быть отказано только на том основании, что запрашиваемое государство, согласно его законодательству, обладает исключительной юрисдикцией над предметом рассматриваемого дела, </w:t>
      </w:r>
      <w:proofErr w:type="gramStart"/>
      <w:r w:rsidRPr="00182B30">
        <w:rPr>
          <w:rFonts w:ascii="Times New Roman" w:hAnsi="Times New Roman"/>
          <w:color w:val="auto"/>
          <w:sz w:val="24"/>
        </w:rPr>
        <w:t>или</w:t>
      </w:r>
      <w:proofErr w:type="gramEnd"/>
      <w:r w:rsidRPr="00182B30">
        <w:rPr>
          <w:rFonts w:ascii="Times New Roman" w:hAnsi="Times New Roman"/>
          <w:color w:val="auto"/>
          <w:sz w:val="24"/>
        </w:rPr>
        <w:t xml:space="preserve"> что по его законодательств</w:t>
      </w:r>
      <w:r w:rsidRPr="00182B30">
        <w:rPr>
          <w:rFonts w:ascii="Times New Roman" w:hAnsi="Times New Roman"/>
          <w:color w:val="auto"/>
          <w:sz w:val="24"/>
        </w:rPr>
        <w:t>у предъявление иска, лежащего в основе заявленного запроса, не допускается.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В случае отказа Центральный орган незамедлительно информирует об этом заявителя с указанием причин.</w:t>
      </w: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Затруднения, которые могут возникнуть в связи с передачей судебных документов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 xml:space="preserve"> в целях их вручения, разрешаются дипломатическим путем.</w:t>
      </w: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В случае</w:t>
      </w:r>
      <w:proofErr w:type="gramStart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,</w:t>
      </w:r>
      <w:proofErr w:type="gramEnd"/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 xml:space="preserve"> если судебная повестка или эквивалентный документ подлежал направлению за границу в целях вручения в соответствии с положениями Конвенции и ответчик в суд не явился, суд откладывает вынесе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ние решения до тех пор, пока не будет установлено: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</w:r>
      <w:proofErr w:type="spellStart"/>
      <w:r w:rsidRPr="00182B30">
        <w:rPr>
          <w:rFonts w:ascii="Times New Roman" w:hAnsi="Times New Roman"/>
          <w:color w:val="auto"/>
          <w:sz w:val="24"/>
        </w:rPr>
        <w:t>a</w:t>
      </w:r>
      <w:proofErr w:type="spellEnd"/>
      <w:r w:rsidRPr="00182B30">
        <w:rPr>
          <w:rFonts w:ascii="Times New Roman" w:hAnsi="Times New Roman"/>
          <w:color w:val="auto"/>
          <w:sz w:val="24"/>
        </w:rPr>
        <w:t>) что документ вручен в порядке, предусмотренном законодательством запрашиваемого государства для вручения или доставки совершенных в нем документов лицам, находящимся на его территории, или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proofErr w:type="spellStart"/>
      <w:r w:rsidRPr="00182B30">
        <w:rPr>
          <w:rFonts w:ascii="Times New Roman" w:hAnsi="Times New Roman"/>
          <w:color w:val="auto"/>
          <w:sz w:val="24"/>
        </w:rPr>
        <w:t>b</w:t>
      </w:r>
      <w:proofErr w:type="spellEnd"/>
      <w:r w:rsidRPr="00182B30">
        <w:rPr>
          <w:rFonts w:ascii="Times New Roman" w:hAnsi="Times New Roman"/>
          <w:color w:val="auto"/>
          <w:sz w:val="24"/>
        </w:rPr>
        <w:t>) что документ действительно доставлен ответчику лично или по месту его жительства в ином порядке, предусмотренном в Конвенции,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и что в любом из этих случаев документ был вручен или доставлен своевременно таким образом, чтобы ответчик мог подгот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овиться к своей защите.</w:t>
      </w:r>
    </w:p>
    <w:p w:rsidR="00107656" w:rsidRPr="00182B30" w:rsidRDefault="00182B30" w:rsidP="00182B30">
      <w:pPr>
        <w:pStyle w:val="ConsPlusNormal"/>
        <w:ind w:firstLine="540"/>
        <w:jc w:val="both"/>
        <w:rPr>
          <w:color w:val="auto"/>
        </w:rPr>
      </w:pPr>
      <w:r w:rsidRPr="00182B30">
        <w:rPr>
          <w:rFonts w:ascii="Times New Roman" w:hAnsi="Times New Roman"/>
          <w:color w:val="auto"/>
          <w:sz w:val="24"/>
        </w:rPr>
        <w:tab/>
        <w:t>В случае</w:t>
      </w:r>
      <w:proofErr w:type="gramStart"/>
      <w:r w:rsidRPr="00182B30">
        <w:rPr>
          <w:rFonts w:ascii="Times New Roman" w:hAnsi="Times New Roman"/>
          <w:color w:val="auto"/>
          <w:sz w:val="24"/>
        </w:rPr>
        <w:t>,</w:t>
      </w:r>
      <w:proofErr w:type="gramEnd"/>
      <w:r w:rsidRPr="00182B30">
        <w:rPr>
          <w:rFonts w:ascii="Times New Roman" w:hAnsi="Times New Roman"/>
          <w:color w:val="auto"/>
          <w:sz w:val="24"/>
        </w:rPr>
        <w:t xml:space="preserve"> если судебная повестка или эквивалентный документ подлежал направлению за границу для вручения в соответствии с положениями Конвенции и судом было вынесено решение против не явившегося в суд ответчика, судья вправе освобо</w:t>
      </w:r>
      <w:r w:rsidRPr="00182B30">
        <w:rPr>
          <w:rFonts w:ascii="Times New Roman" w:hAnsi="Times New Roman"/>
          <w:color w:val="auto"/>
          <w:sz w:val="24"/>
        </w:rPr>
        <w:t>дить ответчика от последствий истечения срока обжалования решения при выполнении следующих условий: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proofErr w:type="spellStart"/>
      <w:r w:rsidRPr="00182B30">
        <w:rPr>
          <w:rFonts w:ascii="Times New Roman" w:hAnsi="Times New Roman"/>
          <w:color w:val="auto"/>
          <w:sz w:val="24"/>
        </w:rPr>
        <w:t>a</w:t>
      </w:r>
      <w:proofErr w:type="spellEnd"/>
      <w:r w:rsidRPr="00182B30">
        <w:rPr>
          <w:rFonts w:ascii="Times New Roman" w:hAnsi="Times New Roman"/>
          <w:color w:val="auto"/>
          <w:sz w:val="24"/>
        </w:rPr>
        <w:t>) ответчику не по его вине не стало известно о документе достаточно заблаговременно для того, чтобы он мог подготовиться к своей защите, или о вын</w:t>
      </w:r>
      <w:r w:rsidRPr="00182B30">
        <w:rPr>
          <w:rFonts w:ascii="Times New Roman" w:hAnsi="Times New Roman"/>
          <w:color w:val="auto"/>
          <w:sz w:val="24"/>
        </w:rPr>
        <w:t>есенном решении - таким образом, чтобы он мог его обжаловать, и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proofErr w:type="spellStart"/>
      <w:r w:rsidRPr="00182B30">
        <w:rPr>
          <w:rFonts w:ascii="Times New Roman" w:hAnsi="Times New Roman"/>
          <w:color w:val="auto"/>
          <w:sz w:val="24"/>
        </w:rPr>
        <w:t>b</w:t>
      </w:r>
      <w:proofErr w:type="spellEnd"/>
      <w:r w:rsidRPr="00182B30">
        <w:rPr>
          <w:rFonts w:ascii="Times New Roman" w:hAnsi="Times New Roman"/>
          <w:color w:val="auto"/>
          <w:sz w:val="24"/>
        </w:rPr>
        <w:t>) ответчик представил обоснованные доводы в свою защиту.</w:t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Fonts w:ascii="Times New Roman" w:hAnsi="Times New Roman"/>
          <w:color w:val="auto"/>
          <w:sz w:val="24"/>
        </w:rPr>
        <w:tab/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>Ходатайство о восстановлении срока может быть подано только в течение разумного срока после того, как ответчику стало известно о</w:t>
      </w: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 xml:space="preserve"> решении.</w:t>
      </w:r>
    </w:p>
    <w:p w:rsidR="00107656" w:rsidRPr="00182B30" w:rsidRDefault="00182B30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  <w:r w:rsidRPr="00182B30">
        <w:rPr>
          <w:rStyle w:val="a4"/>
          <w:rFonts w:ascii="Times New Roman" w:hAnsi="Times New Roman"/>
          <w:b w:val="0"/>
          <w:bCs w:val="0"/>
          <w:color w:val="auto"/>
          <w:sz w:val="24"/>
        </w:rPr>
        <w:tab/>
        <w:t>Внесудебные документы, исходящие от органов и судебных должностных лиц Договаривающегося Государства, могут быть переданы для вручения в другом Договаривающемся Государстве в соответствии с порядком и условиями, предусмотренными в Конвенции.</w:t>
      </w:r>
    </w:p>
    <w:p w:rsidR="00107656" w:rsidRPr="00182B30" w:rsidRDefault="00107656" w:rsidP="00182B30">
      <w:pPr>
        <w:pStyle w:val="ConsPlusNormal"/>
        <w:shd w:val="clear" w:color="auto" w:fill="FFFFFF"/>
        <w:ind w:firstLine="540"/>
        <w:jc w:val="both"/>
        <w:rPr>
          <w:rStyle w:val="a4"/>
          <w:rFonts w:ascii="Times New Roman" w:hAnsi="Times New Roman"/>
          <w:b w:val="0"/>
          <w:bCs w:val="0"/>
          <w:color w:val="auto"/>
          <w:sz w:val="24"/>
        </w:rPr>
      </w:pPr>
    </w:p>
    <w:p w:rsidR="00107656" w:rsidRPr="00182B30" w:rsidRDefault="00107656" w:rsidP="00182B30">
      <w:pPr>
        <w:pStyle w:val="ConsPlusNormal"/>
        <w:shd w:val="clear" w:color="auto" w:fill="FFFFFF"/>
        <w:ind w:firstLine="540"/>
        <w:jc w:val="both"/>
        <w:rPr>
          <w:rStyle w:val="a4"/>
          <w:rFonts w:ascii="Times New Roman" w:hAnsi="Times New Roman"/>
          <w:b w:val="0"/>
          <w:bCs w:val="0"/>
          <w:color w:val="auto"/>
          <w:sz w:val="24"/>
        </w:rPr>
      </w:pPr>
    </w:p>
    <w:p w:rsidR="00107656" w:rsidRPr="00182B30" w:rsidRDefault="00107656" w:rsidP="00182B30">
      <w:pPr>
        <w:pStyle w:val="ConsPlusNormal"/>
        <w:shd w:val="clear" w:color="auto" w:fill="FFFFFF"/>
        <w:ind w:firstLine="540"/>
        <w:jc w:val="both"/>
        <w:rPr>
          <w:color w:val="auto"/>
        </w:rPr>
      </w:pPr>
    </w:p>
    <w:sectPr w:rsidR="00107656" w:rsidRPr="00182B30" w:rsidSect="00107656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56"/>
    <w:rsid w:val="00107656"/>
    <w:rsid w:val="0018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6A706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6A706E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6A706E"/>
    <w:rPr>
      <w:rFonts w:cs="OpenSymbol"/>
    </w:rPr>
  </w:style>
  <w:style w:type="character" w:customStyle="1" w:styleId="ListLabel3">
    <w:name w:val="ListLabel 3"/>
    <w:qFormat/>
    <w:rsid w:val="006A706E"/>
    <w:rPr>
      <w:rFonts w:cs="OpenSymbol"/>
    </w:rPr>
  </w:style>
  <w:style w:type="character" w:customStyle="1" w:styleId="ListLabel4">
    <w:name w:val="ListLabel 4"/>
    <w:qFormat/>
    <w:rsid w:val="006A706E"/>
    <w:rPr>
      <w:rFonts w:cs="OpenSymbol"/>
    </w:rPr>
  </w:style>
  <w:style w:type="character" w:customStyle="1" w:styleId="ListLabel5">
    <w:name w:val="ListLabel 5"/>
    <w:qFormat/>
    <w:rsid w:val="006A706E"/>
    <w:rPr>
      <w:rFonts w:cs="OpenSymbol"/>
    </w:rPr>
  </w:style>
  <w:style w:type="character" w:customStyle="1" w:styleId="ListLabel6">
    <w:name w:val="ListLabel 6"/>
    <w:qFormat/>
    <w:rsid w:val="006A706E"/>
    <w:rPr>
      <w:rFonts w:cs="OpenSymbol"/>
    </w:rPr>
  </w:style>
  <w:style w:type="character" w:customStyle="1" w:styleId="ListLabel7">
    <w:name w:val="ListLabel 7"/>
    <w:qFormat/>
    <w:rsid w:val="006A706E"/>
    <w:rPr>
      <w:rFonts w:cs="OpenSymbol"/>
    </w:rPr>
  </w:style>
  <w:style w:type="character" w:customStyle="1" w:styleId="ListLabel8">
    <w:name w:val="ListLabel 8"/>
    <w:qFormat/>
    <w:rsid w:val="006A706E"/>
    <w:rPr>
      <w:rFonts w:cs="OpenSymbol"/>
    </w:rPr>
  </w:style>
  <w:style w:type="character" w:customStyle="1" w:styleId="ListLabel9">
    <w:name w:val="ListLabel 9"/>
    <w:qFormat/>
    <w:rsid w:val="006A706E"/>
    <w:rPr>
      <w:rFonts w:cs="OpenSymbol"/>
    </w:rPr>
  </w:style>
  <w:style w:type="character" w:styleId="a4">
    <w:name w:val="Strong"/>
    <w:basedOn w:val="a0"/>
    <w:qFormat/>
    <w:rsid w:val="006A706E"/>
    <w:rPr>
      <w:b/>
      <w:bCs/>
    </w:rPr>
  </w:style>
  <w:style w:type="character" w:customStyle="1" w:styleId="ListLabel10">
    <w:name w:val="ListLabel 10"/>
    <w:qFormat/>
    <w:rsid w:val="006A706E"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sid w:val="006A706E"/>
    <w:rPr>
      <w:rFonts w:cs="OpenSymbol"/>
    </w:rPr>
  </w:style>
  <w:style w:type="character" w:customStyle="1" w:styleId="ListLabel12">
    <w:name w:val="ListLabel 12"/>
    <w:qFormat/>
    <w:rsid w:val="006A706E"/>
    <w:rPr>
      <w:rFonts w:cs="OpenSymbol"/>
    </w:rPr>
  </w:style>
  <w:style w:type="character" w:customStyle="1" w:styleId="ListLabel13">
    <w:name w:val="ListLabel 13"/>
    <w:qFormat/>
    <w:rsid w:val="006A706E"/>
    <w:rPr>
      <w:rFonts w:cs="OpenSymbol"/>
    </w:rPr>
  </w:style>
  <w:style w:type="character" w:customStyle="1" w:styleId="ListLabel14">
    <w:name w:val="ListLabel 14"/>
    <w:qFormat/>
    <w:rsid w:val="006A706E"/>
    <w:rPr>
      <w:rFonts w:cs="OpenSymbol"/>
    </w:rPr>
  </w:style>
  <w:style w:type="character" w:customStyle="1" w:styleId="ListLabel15">
    <w:name w:val="ListLabel 15"/>
    <w:qFormat/>
    <w:rsid w:val="006A706E"/>
    <w:rPr>
      <w:rFonts w:cs="OpenSymbol"/>
    </w:rPr>
  </w:style>
  <w:style w:type="character" w:customStyle="1" w:styleId="ListLabel16">
    <w:name w:val="ListLabel 16"/>
    <w:qFormat/>
    <w:rsid w:val="006A706E"/>
    <w:rPr>
      <w:rFonts w:cs="OpenSymbol"/>
    </w:rPr>
  </w:style>
  <w:style w:type="character" w:customStyle="1" w:styleId="ListLabel17">
    <w:name w:val="ListLabel 17"/>
    <w:qFormat/>
    <w:rsid w:val="006A706E"/>
    <w:rPr>
      <w:rFonts w:cs="OpenSymbol"/>
    </w:rPr>
  </w:style>
  <w:style w:type="character" w:customStyle="1" w:styleId="ListLabel18">
    <w:name w:val="ListLabel 18"/>
    <w:qFormat/>
    <w:rsid w:val="006A706E"/>
    <w:rPr>
      <w:rFonts w:cs="OpenSymbol"/>
    </w:rPr>
  </w:style>
  <w:style w:type="character" w:customStyle="1" w:styleId="ListLabel19">
    <w:name w:val="ListLabel 19"/>
    <w:qFormat/>
    <w:rsid w:val="006A706E"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sid w:val="006A706E"/>
    <w:rPr>
      <w:rFonts w:cs="OpenSymbol"/>
    </w:rPr>
  </w:style>
  <w:style w:type="character" w:customStyle="1" w:styleId="ListLabel21">
    <w:name w:val="ListLabel 21"/>
    <w:qFormat/>
    <w:rsid w:val="006A706E"/>
    <w:rPr>
      <w:rFonts w:cs="OpenSymbol"/>
    </w:rPr>
  </w:style>
  <w:style w:type="character" w:customStyle="1" w:styleId="ListLabel22">
    <w:name w:val="ListLabel 22"/>
    <w:qFormat/>
    <w:rsid w:val="006A706E"/>
    <w:rPr>
      <w:rFonts w:cs="OpenSymbol"/>
    </w:rPr>
  </w:style>
  <w:style w:type="character" w:customStyle="1" w:styleId="ListLabel23">
    <w:name w:val="ListLabel 23"/>
    <w:qFormat/>
    <w:rsid w:val="006A706E"/>
    <w:rPr>
      <w:rFonts w:cs="OpenSymbol"/>
    </w:rPr>
  </w:style>
  <w:style w:type="character" w:customStyle="1" w:styleId="ListLabel24">
    <w:name w:val="ListLabel 24"/>
    <w:qFormat/>
    <w:rsid w:val="006A706E"/>
    <w:rPr>
      <w:rFonts w:cs="OpenSymbol"/>
    </w:rPr>
  </w:style>
  <w:style w:type="character" w:customStyle="1" w:styleId="ListLabel25">
    <w:name w:val="ListLabel 25"/>
    <w:qFormat/>
    <w:rsid w:val="006A706E"/>
    <w:rPr>
      <w:rFonts w:cs="OpenSymbol"/>
    </w:rPr>
  </w:style>
  <w:style w:type="character" w:customStyle="1" w:styleId="ListLabel26">
    <w:name w:val="ListLabel 26"/>
    <w:qFormat/>
    <w:rsid w:val="006A706E"/>
    <w:rPr>
      <w:rFonts w:cs="OpenSymbol"/>
    </w:rPr>
  </w:style>
  <w:style w:type="character" w:customStyle="1" w:styleId="ListLabel27">
    <w:name w:val="ListLabel 27"/>
    <w:qFormat/>
    <w:rsid w:val="006A706E"/>
    <w:rPr>
      <w:rFonts w:cs="OpenSymbol"/>
    </w:rPr>
  </w:style>
  <w:style w:type="character" w:customStyle="1" w:styleId="ListLabel28">
    <w:name w:val="ListLabel 28"/>
    <w:qFormat/>
    <w:rsid w:val="006A706E"/>
    <w:rPr>
      <w:rFonts w:ascii="Times New Roman" w:hAnsi="Times New Roman" w:cs="OpenSymbol"/>
      <w:sz w:val="24"/>
    </w:rPr>
  </w:style>
  <w:style w:type="character" w:customStyle="1" w:styleId="ListLabel29">
    <w:name w:val="ListLabel 29"/>
    <w:qFormat/>
    <w:rsid w:val="006A706E"/>
    <w:rPr>
      <w:rFonts w:cs="OpenSymbol"/>
    </w:rPr>
  </w:style>
  <w:style w:type="character" w:customStyle="1" w:styleId="ListLabel30">
    <w:name w:val="ListLabel 30"/>
    <w:qFormat/>
    <w:rsid w:val="006A706E"/>
    <w:rPr>
      <w:rFonts w:cs="OpenSymbol"/>
    </w:rPr>
  </w:style>
  <w:style w:type="character" w:customStyle="1" w:styleId="ListLabel31">
    <w:name w:val="ListLabel 31"/>
    <w:qFormat/>
    <w:rsid w:val="006A706E"/>
    <w:rPr>
      <w:rFonts w:cs="OpenSymbol"/>
    </w:rPr>
  </w:style>
  <w:style w:type="character" w:customStyle="1" w:styleId="ListLabel32">
    <w:name w:val="ListLabel 32"/>
    <w:qFormat/>
    <w:rsid w:val="006A706E"/>
    <w:rPr>
      <w:rFonts w:cs="OpenSymbol"/>
    </w:rPr>
  </w:style>
  <w:style w:type="character" w:customStyle="1" w:styleId="ListLabel33">
    <w:name w:val="ListLabel 33"/>
    <w:qFormat/>
    <w:rsid w:val="006A706E"/>
    <w:rPr>
      <w:rFonts w:cs="OpenSymbol"/>
    </w:rPr>
  </w:style>
  <w:style w:type="character" w:customStyle="1" w:styleId="ListLabel34">
    <w:name w:val="ListLabel 34"/>
    <w:qFormat/>
    <w:rsid w:val="006A706E"/>
    <w:rPr>
      <w:rFonts w:cs="OpenSymbol"/>
    </w:rPr>
  </w:style>
  <w:style w:type="character" w:customStyle="1" w:styleId="ListLabel35">
    <w:name w:val="ListLabel 35"/>
    <w:qFormat/>
    <w:rsid w:val="006A706E"/>
    <w:rPr>
      <w:rFonts w:cs="OpenSymbol"/>
    </w:rPr>
  </w:style>
  <w:style w:type="character" w:customStyle="1" w:styleId="ListLabel36">
    <w:name w:val="ListLabel 36"/>
    <w:qFormat/>
    <w:rsid w:val="006A706E"/>
    <w:rPr>
      <w:rFonts w:cs="OpenSymbol"/>
    </w:rPr>
  </w:style>
  <w:style w:type="character" w:customStyle="1" w:styleId="ListLabel37">
    <w:name w:val="ListLabel 37"/>
    <w:qFormat/>
    <w:rsid w:val="006A706E"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sid w:val="006A706E"/>
    <w:rPr>
      <w:rFonts w:cs="OpenSymbol"/>
    </w:rPr>
  </w:style>
  <w:style w:type="character" w:customStyle="1" w:styleId="ListLabel39">
    <w:name w:val="ListLabel 39"/>
    <w:qFormat/>
    <w:rsid w:val="006A706E"/>
    <w:rPr>
      <w:rFonts w:cs="OpenSymbol"/>
    </w:rPr>
  </w:style>
  <w:style w:type="character" w:customStyle="1" w:styleId="ListLabel40">
    <w:name w:val="ListLabel 40"/>
    <w:qFormat/>
    <w:rsid w:val="006A706E"/>
    <w:rPr>
      <w:rFonts w:cs="OpenSymbol"/>
    </w:rPr>
  </w:style>
  <w:style w:type="character" w:customStyle="1" w:styleId="ListLabel41">
    <w:name w:val="ListLabel 41"/>
    <w:qFormat/>
    <w:rsid w:val="006A706E"/>
    <w:rPr>
      <w:rFonts w:cs="OpenSymbol"/>
    </w:rPr>
  </w:style>
  <w:style w:type="character" w:customStyle="1" w:styleId="ListLabel42">
    <w:name w:val="ListLabel 42"/>
    <w:qFormat/>
    <w:rsid w:val="006A706E"/>
    <w:rPr>
      <w:rFonts w:cs="OpenSymbol"/>
    </w:rPr>
  </w:style>
  <w:style w:type="character" w:customStyle="1" w:styleId="ListLabel43">
    <w:name w:val="ListLabel 43"/>
    <w:qFormat/>
    <w:rsid w:val="006A706E"/>
    <w:rPr>
      <w:rFonts w:cs="OpenSymbol"/>
    </w:rPr>
  </w:style>
  <w:style w:type="character" w:customStyle="1" w:styleId="ListLabel44">
    <w:name w:val="ListLabel 44"/>
    <w:qFormat/>
    <w:rsid w:val="006A706E"/>
    <w:rPr>
      <w:rFonts w:cs="OpenSymbol"/>
    </w:rPr>
  </w:style>
  <w:style w:type="character" w:customStyle="1" w:styleId="ListLabel45">
    <w:name w:val="ListLabel 45"/>
    <w:qFormat/>
    <w:rsid w:val="006A706E"/>
    <w:rPr>
      <w:rFonts w:cs="OpenSymbol"/>
    </w:rPr>
  </w:style>
  <w:style w:type="character" w:customStyle="1" w:styleId="ListLabel46">
    <w:name w:val="ListLabel 46"/>
    <w:qFormat/>
    <w:rsid w:val="006A706E"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sid w:val="006A706E"/>
    <w:rPr>
      <w:rFonts w:cs="OpenSymbol"/>
    </w:rPr>
  </w:style>
  <w:style w:type="character" w:customStyle="1" w:styleId="ListLabel48">
    <w:name w:val="ListLabel 48"/>
    <w:qFormat/>
    <w:rsid w:val="006A706E"/>
    <w:rPr>
      <w:rFonts w:cs="OpenSymbol"/>
    </w:rPr>
  </w:style>
  <w:style w:type="character" w:customStyle="1" w:styleId="ListLabel49">
    <w:name w:val="ListLabel 49"/>
    <w:qFormat/>
    <w:rsid w:val="006A706E"/>
    <w:rPr>
      <w:rFonts w:cs="OpenSymbol"/>
    </w:rPr>
  </w:style>
  <w:style w:type="character" w:customStyle="1" w:styleId="ListLabel50">
    <w:name w:val="ListLabel 50"/>
    <w:qFormat/>
    <w:rsid w:val="006A706E"/>
    <w:rPr>
      <w:rFonts w:cs="OpenSymbol"/>
    </w:rPr>
  </w:style>
  <w:style w:type="character" w:customStyle="1" w:styleId="ListLabel51">
    <w:name w:val="ListLabel 51"/>
    <w:qFormat/>
    <w:rsid w:val="006A706E"/>
    <w:rPr>
      <w:rFonts w:cs="OpenSymbol"/>
    </w:rPr>
  </w:style>
  <w:style w:type="character" w:customStyle="1" w:styleId="ListLabel52">
    <w:name w:val="ListLabel 52"/>
    <w:qFormat/>
    <w:rsid w:val="006A706E"/>
    <w:rPr>
      <w:rFonts w:cs="OpenSymbol"/>
    </w:rPr>
  </w:style>
  <w:style w:type="character" w:customStyle="1" w:styleId="ListLabel53">
    <w:name w:val="ListLabel 53"/>
    <w:qFormat/>
    <w:rsid w:val="006A706E"/>
    <w:rPr>
      <w:rFonts w:cs="OpenSymbol"/>
    </w:rPr>
  </w:style>
  <w:style w:type="character" w:customStyle="1" w:styleId="ListLabel54">
    <w:name w:val="ListLabel 54"/>
    <w:qFormat/>
    <w:rsid w:val="006A706E"/>
    <w:rPr>
      <w:rFonts w:cs="OpenSymbol"/>
    </w:rPr>
  </w:style>
  <w:style w:type="character" w:customStyle="1" w:styleId="ListLabel55">
    <w:name w:val="ListLabel 55"/>
    <w:qFormat/>
    <w:rsid w:val="006A706E"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sid w:val="006A706E"/>
    <w:rPr>
      <w:rFonts w:cs="OpenSymbol"/>
    </w:rPr>
  </w:style>
  <w:style w:type="character" w:customStyle="1" w:styleId="ListLabel57">
    <w:name w:val="ListLabel 57"/>
    <w:qFormat/>
    <w:rsid w:val="006A706E"/>
    <w:rPr>
      <w:rFonts w:cs="OpenSymbol"/>
    </w:rPr>
  </w:style>
  <w:style w:type="character" w:customStyle="1" w:styleId="ListLabel58">
    <w:name w:val="ListLabel 58"/>
    <w:qFormat/>
    <w:rsid w:val="006A706E"/>
    <w:rPr>
      <w:rFonts w:cs="OpenSymbol"/>
    </w:rPr>
  </w:style>
  <w:style w:type="character" w:customStyle="1" w:styleId="ListLabel59">
    <w:name w:val="ListLabel 59"/>
    <w:qFormat/>
    <w:rsid w:val="006A706E"/>
    <w:rPr>
      <w:rFonts w:cs="OpenSymbol"/>
    </w:rPr>
  </w:style>
  <w:style w:type="character" w:customStyle="1" w:styleId="ListLabel60">
    <w:name w:val="ListLabel 60"/>
    <w:qFormat/>
    <w:rsid w:val="006A706E"/>
    <w:rPr>
      <w:rFonts w:cs="OpenSymbol"/>
    </w:rPr>
  </w:style>
  <w:style w:type="character" w:customStyle="1" w:styleId="ListLabel61">
    <w:name w:val="ListLabel 61"/>
    <w:qFormat/>
    <w:rsid w:val="006A706E"/>
    <w:rPr>
      <w:rFonts w:cs="OpenSymbol"/>
    </w:rPr>
  </w:style>
  <w:style w:type="character" w:customStyle="1" w:styleId="ListLabel62">
    <w:name w:val="ListLabel 62"/>
    <w:qFormat/>
    <w:rsid w:val="006A706E"/>
    <w:rPr>
      <w:rFonts w:cs="OpenSymbol"/>
    </w:rPr>
  </w:style>
  <w:style w:type="character" w:customStyle="1" w:styleId="ListLabel63">
    <w:name w:val="ListLabel 63"/>
    <w:qFormat/>
    <w:rsid w:val="006A706E"/>
    <w:rPr>
      <w:rFonts w:cs="OpenSymbol"/>
    </w:rPr>
  </w:style>
  <w:style w:type="character" w:customStyle="1" w:styleId="ListLabel64">
    <w:name w:val="ListLabel 64"/>
    <w:qFormat/>
    <w:rsid w:val="006A706E"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sid w:val="006A706E"/>
    <w:rPr>
      <w:rFonts w:cs="OpenSymbol"/>
    </w:rPr>
  </w:style>
  <w:style w:type="character" w:customStyle="1" w:styleId="ListLabel66">
    <w:name w:val="ListLabel 66"/>
    <w:qFormat/>
    <w:rsid w:val="006A706E"/>
    <w:rPr>
      <w:rFonts w:cs="OpenSymbol"/>
    </w:rPr>
  </w:style>
  <w:style w:type="character" w:customStyle="1" w:styleId="ListLabel67">
    <w:name w:val="ListLabel 67"/>
    <w:qFormat/>
    <w:rsid w:val="006A706E"/>
    <w:rPr>
      <w:rFonts w:cs="OpenSymbol"/>
    </w:rPr>
  </w:style>
  <w:style w:type="character" w:customStyle="1" w:styleId="ListLabel68">
    <w:name w:val="ListLabel 68"/>
    <w:qFormat/>
    <w:rsid w:val="006A706E"/>
    <w:rPr>
      <w:rFonts w:cs="OpenSymbol"/>
    </w:rPr>
  </w:style>
  <w:style w:type="character" w:customStyle="1" w:styleId="ListLabel69">
    <w:name w:val="ListLabel 69"/>
    <w:qFormat/>
    <w:rsid w:val="006A706E"/>
    <w:rPr>
      <w:rFonts w:cs="OpenSymbol"/>
    </w:rPr>
  </w:style>
  <w:style w:type="character" w:customStyle="1" w:styleId="ListLabel70">
    <w:name w:val="ListLabel 70"/>
    <w:qFormat/>
    <w:rsid w:val="006A706E"/>
    <w:rPr>
      <w:rFonts w:cs="OpenSymbol"/>
    </w:rPr>
  </w:style>
  <w:style w:type="character" w:customStyle="1" w:styleId="ListLabel71">
    <w:name w:val="ListLabel 71"/>
    <w:qFormat/>
    <w:rsid w:val="006A706E"/>
    <w:rPr>
      <w:rFonts w:cs="OpenSymbol"/>
    </w:rPr>
  </w:style>
  <w:style w:type="character" w:customStyle="1" w:styleId="ListLabel72">
    <w:name w:val="ListLabel 72"/>
    <w:qFormat/>
    <w:rsid w:val="006A706E"/>
    <w:rPr>
      <w:rFonts w:cs="OpenSymbol"/>
    </w:rPr>
  </w:style>
  <w:style w:type="character" w:customStyle="1" w:styleId="ListLabel73">
    <w:name w:val="ListLabel 73"/>
    <w:qFormat/>
    <w:rsid w:val="006A706E"/>
    <w:rPr>
      <w:rFonts w:ascii="Times New Roman" w:hAnsi="Times New Roman" w:cs="OpenSymbol"/>
      <w:sz w:val="24"/>
    </w:rPr>
  </w:style>
  <w:style w:type="character" w:customStyle="1" w:styleId="ListLabel74">
    <w:name w:val="ListLabel 74"/>
    <w:qFormat/>
    <w:rsid w:val="006A706E"/>
    <w:rPr>
      <w:rFonts w:cs="OpenSymbol"/>
    </w:rPr>
  </w:style>
  <w:style w:type="character" w:customStyle="1" w:styleId="ListLabel75">
    <w:name w:val="ListLabel 75"/>
    <w:qFormat/>
    <w:rsid w:val="006A706E"/>
    <w:rPr>
      <w:rFonts w:cs="OpenSymbol"/>
    </w:rPr>
  </w:style>
  <w:style w:type="character" w:customStyle="1" w:styleId="ListLabel76">
    <w:name w:val="ListLabel 76"/>
    <w:qFormat/>
    <w:rsid w:val="006A706E"/>
    <w:rPr>
      <w:rFonts w:cs="OpenSymbol"/>
    </w:rPr>
  </w:style>
  <w:style w:type="character" w:customStyle="1" w:styleId="ListLabel77">
    <w:name w:val="ListLabel 77"/>
    <w:qFormat/>
    <w:rsid w:val="006A706E"/>
    <w:rPr>
      <w:rFonts w:cs="OpenSymbol"/>
    </w:rPr>
  </w:style>
  <w:style w:type="character" w:customStyle="1" w:styleId="ListLabel78">
    <w:name w:val="ListLabel 78"/>
    <w:qFormat/>
    <w:rsid w:val="006A706E"/>
    <w:rPr>
      <w:rFonts w:cs="OpenSymbol"/>
    </w:rPr>
  </w:style>
  <w:style w:type="character" w:customStyle="1" w:styleId="ListLabel79">
    <w:name w:val="ListLabel 79"/>
    <w:qFormat/>
    <w:rsid w:val="006A706E"/>
    <w:rPr>
      <w:rFonts w:cs="OpenSymbol"/>
    </w:rPr>
  </w:style>
  <w:style w:type="character" w:customStyle="1" w:styleId="ListLabel80">
    <w:name w:val="ListLabel 80"/>
    <w:qFormat/>
    <w:rsid w:val="006A706E"/>
    <w:rPr>
      <w:rFonts w:cs="OpenSymbol"/>
    </w:rPr>
  </w:style>
  <w:style w:type="character" w:customStyle="1" w:styleId="ListLabel81">
    <w:name w:val="ListLabel 81"/>
    <w:qFormat/>
    <w:rsid w:val="006A706E"/>
    <w:rPr>
      <w:rFonts w:cs="OpenSymbol"/>
    </w:rPr>
  </w:style>
  <w:style w:type="character" w:customStyle="1" w:styleId="ListLabel82">
    <w:name w:val="ListLabel 82"/>
    <w:qFormat/>
    <w:rsid w:val="006A706E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6A706E"/>
    <w:rPr>
      <w:rFonts w:cs="OpenSymbol"/>
    </w:rPr>
  </w:style>
  <w:style w:type="character" w:customStyle="1" w:styleId="ListLabel84">
    <w:name w:val="ListLabel 84"/>
    <w:qFormat/>
    <w:rsid w:val="006A706E"/>
    <w:rPr>
      <w:rFonts w:cs="OpenSymbol"/>
    </w:rPr>
  </w:style>
  <w:style w:type="character" w:customStyle="1" w:styleId="ListLabel85">
    <w:name w:val="ListLabel 85"/>
    <w:qFormat/>
    <w:rsid w:val="006A706E"/>
    <w:rPr>
      <w:rFonts w:cs="OpenSymbol"/>
    </w:rPr>
  </w:style>
  <w:style w:type="character" w:customStyle="1" w:styleId="ListLabel86">
    <w:name w:val="ListLabel 86"/>
    <w:qFormat/>
    <w:rsid w:val="006A706E"/>
    <w:rPr>
      <w:rFonts w:cs="OpenSymbol"/>
    </w:rPr>
  </w:style>
  <w:style w:type="character" w:customStyle="1" w:styleId="ListLabel87">
    <w:name w:val="ListLabel 87"/>
    <w:qFormat/>
    <w:rsid w:val="006A706E"/>
    <w:rPr>
      <w:rFonts w:cs="OpenSymbol"/>
    </w:rPr>
  </w:style>
  <w:style w:type="character" w:customStyle="1" w:styleId="ListLabel88">
    <w:name w:val="ListLabel 88"/>
    <w:qFormat/>
    <w:rsid w:val="006A706E"/>
    <w:rPr>
      <w:rFonts w:cs="OpenSymbol"/>
    </w:rPr>
  </w:style>
  <w:style w:type="character" w:customStyle="1" w:styleId="ListLabel89">
    <w:name w:val="ListLabel 89"/>
    <w:qFormat/>
    <w:rsid w:val="006A706E"/>
    <w:rPr>
      <w:rFonts w:cs="OpenSymbol"/>
    </w:rPr>
  </w:style>
  <w:style w:type="character" w:customStyle="1" w:styleId="ListLabel90">
    <w:name w:val="ListLabel 90"/>
    <w:qFormat/>
    <w:rsid w:val="006A706E"/>
    <w:rPr>
      <w:rFonts w:cs="OpenSymbol"/>
    </w:rPr>
  </w:style>
  <w:style w:type="character" w:customStyle="1" w:styleId="ListLabel91">
    <w:name w:val="ListLabel 91"/>
    <w:qFormat/>
    <w:rsid w:val="006A706E"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sid w:val="006A706E"/>
    <w:rPr>
      <w:rFonts w:cs="OpenSymbol"/>
    </w:rPr>
  </w:style>
  <w:style w:type="character" w:customStyle="1" w:styleId="ListLabel93">
    <w:name w:val="ListLabel 93"/>
    <w:qFormat/>
    <w:rsid w:val="006A706E"/>
    <w:rPr>
      <w:rFonts w:cs="OpenSymbol"/>
    </w:rPr>
  </w:style>
  <w:style w:type="character" w:customStyle="1" w:styleId="ListLabel94">
    <w:name w:val="ListLabel 94"/>
    <w:qFormat/>
    <w:rsid w:val="006A706E"/>
    <w:rPr>
      <w:rFonts w:cs="OpenSymbol"/>
    </w:rPr>
  </w:style>
  <w:style w:type="character" w:customStyle="1" w:styleId="ListLabel95">
    <w:name w:val="ListLabel 95"/>
    <w:qFormat/>
    <w:rsid w:val="006A706E"/>
    <w:rPr>
      <w:rFonts w:cs="OpenSymbol"/>
    </w:rPr>
  </w:style>
  <w:style w:type="character" w:customStyle="1" w:styleId="ListLabel96">
    <w:name w:val="ListLabel 96"/>
    <w:qFormat/>
    <w:rsid w:val="006A706E"/>
    <w:rPr>
      <w:rFonts w:cs="OpenSymbol"/>
    </w:rPr>
  </w:style>
  <w:style w:type="character" w:customStyle="1" w:styleId="ListLabel97">
    <w:name w:val="ListLabel 97"/>
    <w:qFormat/>
    <w:rsid w:val="006A706E"/>
    <w:rPr>
      <w:rFonts w:cs="OpenSymbol"/>
    </w:rPr>
  </w:style>
  <w:style w:type="character" w:customStyle="1" w:styleId="ListLabel98">
    <w:name w:val="ListLabel 98"/>
    <w:qFormat/>
    <w:rsid w:val="006A706E"/>
    <w:rPr>
      <w:rFonts w:cs="OpenSymbol"/>
    </w:rPr>
  </w:style>
  <w:style w:type="character" w:customStyle="1" w:styleId="ListLabel99">
    <w:name w:val="ListLabel 99"/>
    <w:qFormat/>
    <w:rsid w:val="006A706E"/>
    <w:rPr>
      <w:rFonts w:cs="OpenSymbol"/>
    </w:rPr>
  </w:style>
  <w:style w:type="paragraph" w:customStyle="1" w:styleId="a5">
    <w:name w:val="Заголовок"/>
    <w:basedOn w:val="a"/>
    <w:next w:val="a6"/>
    <w:qFormat/>
    <w:rsid w:val="006A70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A706E"/>
    <w:pPr>
      <w:spacing w:after="140" w:line="288" w:lineRule="auto"/>
    </w:pPr>
  </w:style>
  <w:style w:type="paragraph" w:styleId="a7">
    <w:name w:val="List"/>
    <w:basedOn w:val="a6"/>
    <w:rsid w:val="006A706E"/>
    <w:rPr>
      <w:rFonts w:cs="Mangal"/>
    </w:rPr>
  </w:style>
  <w:style w:type="paragraph" w:customStyle="1" w:styleId="Caption">
    <w:name w:val="Caption"/>
    <w:basedOn w:val="a"/>
    <w:qFormat/>
    <w:rsid w:val="006A70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A706E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A706E"/>
    <w:pPr>
      <w:suppressAutoHyphens/>
    </w:pPr>
    <w:rPr>
      <w:rFonts w:ascii="Arial" w:eastAsia="Liberation Serif" w:hAnsi="Arial" w:cs="Liberation Serif"/>
      <w:color w:val="000000"/>
      <w:sz w:val="22"/>
      <w:szCs w:val="24"/>
      <w:lang w:eastAsia="hi-IN"/>
    </w:rPr>
  </w:style>
  <w:style w:type="paragraph" w:customStyle="1" w:styleId="ConsPlusTitle">
    <w:name w:val="ConsPlusTitle"/>
    <w:qFormat/>
    <w:rsid w:val="006A706E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  <w:style w:type="paragraph" w:customStyle="1" w:styleId="aa">
    <w:name w:val="Содержимое таблицы"/>
    <w:basedOn w:val="a"/>
    <w:qFormat/>
    <w:rsid w:val="006A706E"/>
  </w:style>
  <w:style w:type="paragraph" w:customStyle="1" w:styleId="ab">
    <w:name w:val="Заголовок таблицы"/>
    <w:basedOn w:val="aa"/>
    <w:qFormat/>
    <w:rsid w:val="006A70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103</cp:revision>
  <dcterms:created xsi:type="dcterms:W3CDTF">2014-03-25T18:57:00Z</dcterms:created>
  <dcterms:modified xsi:type="dcterms:W3CDTF">2019-01-04T18:21:00Z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